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8A6B28" w:rsidRDefault="00DF2F8E" w:rsidP="004F74E8">
      <w:pPr>
        <w:pStyle w:val="Heading1"/>
        <w:spacing w:line="360" w:lineRule="auto"/>
        <w:jc w:val="center"/>
        <w:rPr>
          <w:rFonts w:ascii="Times New Roman" w:hAnsi="Times New Roman" w:cs="Times New Roman"/>
          <w:color w:val="auto"/>
          <w:sz w:val="28"/>
          <w:szCs w:val="28"/>
        </w:rPr>
      </w:pPr>
      <w:r>
        <w:rPr>
          <w:rFonts w:ascii="Times New Roman" w:hAnsi="Times New Roman" w:cs="Times New Roman"/>
          <w:color w:val="auto"/>
          <w:sz w:val="28"/>
          <w:szCs w:val="28"/>
        </w:rPr>
        <w:t xml:space="preserve">A </w:t>
      </w:r>
      <w:r w:rsidR="00B94261">
        <w:rPr>
          <w:rFonts w:ascii="Times New Roman" w:hAnsi="Times New Roman" w:cs="Times New Roman"/>
          <w:color w:val="auto"/>
          <w:sz w:val="28"/>
          <w:szCs w:val="28"/>
        </w:rPr>
        <w:t xml:space="preserve">Bayesian </w:t>
      </w:r>
      <w:r w:rsidR="00255D05">
        <w:rPr>
          <w:rFonts w:ascii="Times New Roman" w:hAnsi="Times New Roman" w:cs="Times New Roman"/>
          <w:color w:val="auto"/>
          <w:sz w:val="28"/>
          <w:szCs w:val="28"/>
        </w:rPr>
        <w:t xml:space="preserve">approach </w:t>
      </w:r>
      <w:r w:rsidR="004F74E8" w:rsidRPr="009872B0">
        <w:rPr>
          <w:rFonts w:ascii="Times New Roman" w:hAnsi="Times New Roman" w:cs="Times New Roman"/>
          <w:color w:val="auto"/>
          <w:sz w:val="28"/>
          <w:szCs w:val="28"/>
        </w:rPr>
        <w:t>to analyze the efficacy of government SARS-CoV-2 policies in European countries</w:t>
      </w:r>
      <w:r>
        <w:rPr>
          <w:rFonts w:ascii="Times New Roman" w:hAnsi="Times New Roman" w:cs="Times New Roman"/>
          <w:color w:val="auto"/>
          <w:sz w:val="28"/>
          <w:szCs w:val="28"/>
        </w:rPr>
        <w:t xml:space="preserve"> </w:t>
      </w:r>
    </w:p>
    <w:p w:rsidR="008A6B28" w:rsidRDefault="00DF2F8E">
      <w:pPr>
        <w:pStyle w:val="Heading2"/>
        <w:spacing w:line="360" w:lineRule="auto"/>
        <w:rPr>
          <w:rFonts w:ascii="Times New Roman" w:hAnsi="Times New Roman" w:cs="Times New Roman"/>
          <w:sz w:val="28"/>
          <w:szCs w:val="28"/>
        </w:rPr>
      </w:pPr>
      <w:r>
        <w:rPr>
          <w:rFonts w:ascii="Times New Roman" w:hAnsi="Times New Roman" w:cs="Times New Roman"/>
          <w:sz w:val="28"/>
          <w:szCs w:val="28"/>
        </w:rPr>
        <w:t>Abstract</w:t>
      </w:r>
    </w:p>
    <w:p w:rsidR="008A6B28" w:rsidRDefault="00C53E60" w:rsidP="009035FA">
      <w:pPr>
        <w:spacing w:line="360" w:lineRule="auto"/>
        <w:jc w:val="both"/>
        <w:rPr>
          <w:rFonts w:ascii="Times New Roman" w:hAnsi="Times New Roman" w:cs="Times New Roman"/>
          <w:sz w:val="24"/>
          <w:szCs w:val="24"/>
        </w:rPr>
      </w:pPr>
      <w:r w:rsidRPr="009872B0">
        <w:rPr>
          <w:rFonts w:ascii="Times New Roman" w:hAnsi="Times New Roman" w:cs="Times New Roman"/>
          <w:sz w:val="24"/>
          <w:szCs w:val="24"/>
        </w:rPr>
        <w:t>Even when the SARS-CoV-2 pandemic recedes, eviden</w:t>
      </w:r>
      <w:r>
        <w:rPr>
          <w:rFonts w:ascii="Times New Roman" w:hAnsi="Times New Roman" w:cs="Times New Roman"/>
          <w:sz w:val="24"/>
          <w:szCs w:val="24"/>
        </w:rPr>
        <w:t xml:space="preserve">ce based researches regarding </w:t>
      </w:r>
      <w:r w:rsidRPr="009872B0">
        <w:rPr>
          <w:rFonts w:ascii="Times New Roman" w:hAnsi="Times New Roman" w:cs="Times New Roman"/>
          <w:sz w:val="24"/>
          <w:szCs w:val="24"/>
        </w:rPr>
        <w:t>the effectiveness of pharmaceutical and non-pharmaceutical governments</w:t>
      </w:r>
      <w:r w:rsidR="00381702">
        <w:rPr>
          <w:rFonts w:ascii="Times New Roman" w:hAnsi="Times New Roman" w:cs="Times New Roman"/>
          <w:sz w:val="24"/>
          <w:szCs w:val="24"/>
        </w:rPr>
        <w:t xml:space="preserve"> interventions</w:t>
      </w:r>
      <w:r w:rsidR="000725D3">
        <w:rPr>
          <w:rFonts w:ascii="Times New Roman" w:hAnsi="Times New Roman" w:cs="Times New Roman"/>
          <w:sz w:val="24"/>
          <w:szCs w:val="24"/>
        </w:rPr>
        <w:t xml:space="preserve"> (NPIs)</w:t>
      </w:r>
      <w:r>
        <w:rPr>
          <w:rFonts w:ascii="Times New Roman" w:hAnsi="Times New Roman" w:cs="Times New Roman"/>
          <w:sz w:val="24"/>
          <w:szCs w:val="24"/>
        </w:rPr>
        <w:t xml:space="preserve"> are</w:t>
      </w:r>
      <w:r w:rsidRPr="009872B0">
        <w:rPr>
          <w:rFonts w:ascii="Times New Roman" w:hAnsi="Times New Roman" w:cs="Times New Roman"/>
          <w:sz w:val="24"/>
          <w:szCs w:val="24"/>
        </w:rPr>
        <w:t xml:space="preserve"> ongoing.</w:t>
      </w:r>
      <w:r>
        <w:rPr>
          <w:rFonts w:ascii="Times New Roman" w:hAnsi="Times New Roman" w:cs="Times New Roman"/>
          <w:sz w:val="24"/>
          <w:szCs w:val="24"/>
        </w:rPr>
        <w:t xml:space="preserve"> </w:t>
      </w:r>
      <w:r w:rsidR="00691C2F">
        <w:rPr>
          <w:rFonts w:ascii="Times New Roman" w:hAnsi="Times New Roman" w:cs="Times New Roman"/>
          <w:sz w:val="24"/>
          <w:szCs w:val="24"/>
        </w:rPr>
        <w:t>We</w:t>
      </w:r>
      <w:r w:rsidR="00691C2F" w:rsidRPr="009872B0">
        <w:rPr>
          <w:rFonts w:ascii="Times New Roman" w:hAnsi="Times New Roman" w:cs="Times New Roman"/>
          <w:sz w:val="24"/>
          <w:szCs w:val="24"/>
        </w:rPr>
        <w:t xml:space="preserve"> utilize </w:t>
      </w:r>
      <w:r w:rsidR="00691C2F">
        <w:rPr>
          <w:rFonts w:ascii="Times New Roman" w:hAnsi="Times New Roman" w:cs="Times New Roman"/>
          <w:sz w:val="24"/>
          <w:szCs w:val="24"/>
        </w:rPr>
        <w:t>a Bayesian approach</w:t>
      </w:r>
      <w:r w:rsidR="00691C2F" w:rsidRPr="009872B0">
        <w:rPr>
          <w:rFonts w:ascii="Times New Roman" w:hAnsi="Times New Roman" w:cs="Times New Roman"/>
          <w:sz w:val="24"/>
          <w:szCs w:val="24"/>
        </w:rPr>
        <w:t xml:space="preserve"> to examine the </w:t>
      </w:r>
      <w:r w:rsidR="00681696">
        <w:rPr>
          <w:rFonts w:ascii="Times New Roman" w:hAnsi="Times New Roman" w:cs="Times New Roman"/>
          <w:sz w:val="24"/>
          <w:szCs w:val="24"/>
        </w:rPr>
        <w:t>impact</w:t>
      </w:r>
      <w:r w:rsidR="00691C2F" w:rsidRPr="009872B0">
        <w:rPr>
          <w:rFonts w:ascii="Times New Roman" w:hAnsi="Times New Roman" w:cs="Times New Roman"/>
          <w:sz w:val="24"/>
          <w:szCs w:val="24"/>
        </w:rPr>
        <w:t xml:space="preserve"> of government policies</w:t>
      </w:r>
      <w:r w:rsidR="00681696">
        <w:rPr>
          <w:rFonts w:ascii="Times New Roman" w:hAnsi="Times New Roman" w:cs="Times New Roman"/>
          <w:sz w:val="24"/>
          <w:szCs w:val="24"/>
        </w:rPr>
        <w:t xml:space="preserve"> on containing the virus spread</w:t>
      </w:r>
      <w:r w:rsidR="00691C2F" w:rsidRPr="009872B0">
        <w:rPr>
          <w:rFonts w:ascii="Times New Roman" w:hAnsi="Times New Roman" w:cs="Times New Roman"/>
          <w:sz w:val="24"/>
          <w:szCs w:val="24"/>
        </w:rPr>
        <w:t xml:space="preserve"> based on the</w:t>
      </w:r>
      <w:r w:rsidR="00E345F6">
        <w:rPr>
          <w:rFonts w:ascii="Times New Roman" w:hAnsi="Times New Roman" w:cs="Times New Roman"/>
          <w:sz w:val="24"/>
          <w:szCs w:val="24"/>
        </w:rPr>
        <w:t xml:space="preserve"> longitudinal</w:t>
      </w:r>
      <w:r w:rsidR="00691C2F" w:rsidRPr="009872B0">
        <w:rPr>
          <w:rFonts w:ascii="Times New Roman" w:hAnsi="Times New Roman" w:cs="Times New Roman"/>
          <w:sz w:val="24"/>
          <w:szCs w:val="24"/>
        </w:rPr>
        <w:t xml:space="preserve"> data of 30 European countries</w:t>
      </w:r>
      <w:r w:rsidR="00691C2F">
        <w:rPr>
          <w:rFonts w:ascii="Times New Roman" w:hAnsi="Times New Roman" w:cs="Times New Roman"/>
          <w:sz w:val="24"/>
          <w:szCs w:val="24"/>
        </w:rPr>
        <w:t xml:space="preserve"> </w:t>
      </w:r>
      <w:r w:rsidR="00691C2F" w:rsidRPr="009872B0">
        <w:rPr>
          <w:rFonts w:ascii="Times New Roman" w:hAnsi="Times New Roman" w:cs="Times New Roman"/>
          <w:sz w:val="24"/>
          <w:szCs w:val="24"/>
        </w:rPr>
        <w:t>from ear</w:t>
      </w:r>
      <w:r w:rsidR="00691C2F">
        <w:rPr>
          <w:rFonts w:ascii="Times New Roman" w:hAnsi="Times New Roman" w:cs="Times New Roman"/>
          <w:sz w:val="24"/>
          <w:szCs w:val="24"/>
        </w:rPr>
        <w:t>ly 2020 up to the middle of the year 2022</w:t>
      </w:r>
      <w:r w:rsidR="00691C2F" w:rsidRPr="009872B0">
        <w:rPr>
          <w:rFonts w:ascii="Times New Roman" w:hAnsi="Times New Roman" w:cs="Times New Roman"/>
          <w:sz w:val="24"/>
          <w:szCs w:val="24"/>
        </w:rPr>
        <w:t xml:space="preserve">. </w:t>
      </w:r>
      <w:r w:rsidR="00681696">
        <w:rPr>
          <w:rFonts w:ascii="Times New Roman" w:hAnsi="Times New Roman" w:cs="Times New Roman"/>
          <w:sz w:val="24"/>
          <w:szCs w:val="24"/>
        </w:rPr>
        <w:t xml:space="preserve">Thereby, </w:t>
      </w:r>
      <w:r w:rsidR="000C531D">
        <w:rPr>
          <w:rFonts w:ascii="Times New Roman" w:hAnsi="Times New Roman" w:cs="Times New Roman"/>
          <w:sz w:val="24"/>
          <w:szCs w:val="24"/>
        </w:rPr>
        <w:t xml:space="preserve">we analyze the </w:t>
      </w:r>
      <w:r w:rsidR="00681696">
        <w:rPr>
          <w:rFonts w:ascii="Times New Roman" w:hAnsi="Times New Roman" w:cs="Times New Roman"/>
          <w:sz w:val="24"/>
          <w:szCs w:val="24"/>
        </w:rPr>
        <w:t>observations</w:t>
      </w:r>
      <w:r w:rsidR="00681696" w:rsidRPr="00B21E83">
        <w:rPr>
          <w:rFonts w:ascii="Times New Roman" w:hAnsi="Times New Roman" w:cs="Times New Roman"/>
          <w:sz w:val="24"/>
          <w:szCs w:val="24"/>
        </w:rPr>
        <w:t xml:space="preserve"> of the</w:t>
      </w:r>
      <w:r w:rsidR="00681696">
        <w:rPr>
          <w:rFonts w:ascii="Times New Roman" w:hAnsi="Times New Roman" w:cs="Times New Roman"/>
          <w:sz w:val="24"/>
          <w:szCs w:val="24"/>
        </w:rPr>
        <w:t xml:space="preserve"> SARS-CoV-2</w:t>
      </w:r>
      <w:r w:rsidR="00681696" w:rsidRPr="00B21E83">
        <w:rPr>
          <w:rFonts w:ascii="Times New Roman" w:hAnsi="Times New Roman" w:cs="Times New Roman"/>
          <w:sz w:val="24"/>
          <w:szCs w:val="24"/>
        </w:rPr>
        <w:t xml:space="preserve"> </w:t>
      </w:r>
      <w:r w:rsidR="00681696">
        <w:rPr>
          <w:rFonts w:ascii="Times New Roman" w:hAnsi="Times New Roman" w:cs="Times New Roman"/>
          <w:sz w:val="24"/>
          <w:szCs w:val="24"/>
        </w:rPr>
        <w:t>pandemic growth rates</w:t>
      </w:r>
      <w:r w:rsidR="00681696" w:rsidRPr="00B21E83">
        <w:rPr>
          <w:rFonts w:ascii="Times New Roman" w:hAnsi="Times New Roman" w:cs="Times New Roman"/>
          <w:sz w:val="24"/>
          <w:szCs w:val="24"/>
        </w:rPr>
        <w:t xml:space="preserve"> </w:t>
      </w:r>
      <w:r w:rsidR="00681696">
        <w:rPr>
          <w:rFonts w:ascii="Times New Roman" w:hAnsi="Times New Roman" w:cs="Times New Roman"/>
          <w:sz w:val="24"/>
          <w:szCs w:val="24"/>
        </w:rPr>
        <w:t xml:space="preserve">with relation to </w:t>
      </w:r>
      <w:r w:rsidR="000C531D">
        <w:rPr>
          <w:rFonts w:ascii="Times New Roman" w:hAnsi="Times New Roman" w:cs="Times New Roman"/>
          <w:sz w:val="24"/>
          <w:szCs w:val="24"/>
        </w:rPr>
        <w:t>a comprehensive</w:t>
      </w:r>
      <w:r w:rsidR="000C531D">
        <w:rPr>
          <w:rFonts w:ascii="Times New Roman" w:hAnsi="Times New Roman" w:cs="Times New Roman"/>
          <w:sz w:val="24"/>
          <w:szCs w:val="24"/>
        </w:rPr>
        <w:t xml:space="preserve"> set of the pandemic influential factors</w:t>
      </w:r>
      <w:r w:rsidR="000C531D" w:rsidRPr="009872B0">
        <w:rPr>
          <w:rFonts w:ascii="Times New Roman" w:hAnsi="Times New Roman" w:cs="Times New Roman"/>
          <w:sz w:val="24"/>
          <w:szCs w:val="24"/>
        </w:rPr>
        <w:t xml:space="preserve"> </w:t>
      </w:r>
      <w:r w:rsidR="000C531D">
        <w:rPr>
          <w:rFonts w:ascii="Times New Roman" w:hAnsi="Times New Roman" w:cs="Times New Roman"/>
          <w:sz w:val="24"/>
          <w:szCs w:val="24"/>
        </w:rPr>
        <w:t xml:space="preserve">comprising </w:t>
      </w:r>
      <w:r w:rsidR="000C531D" w:rsidRPr="009872B0">
        <w:rPr>
          <w:rFonts w:ascii="Times New Roman" w:hAnsi="Times New Roman" w:cs="Times New Roman"/>
          <w:sz w:val="24"/>
          <w:szCs w:val="24"/>
        </w:rPr>
        <w:t>each</w:t>
      </w:r>
      <w:r w:rsidR="00681696">
        <w:rPr>
          <w:rFonts w:ascii="Times New Roman" w:hAnsi="Times New Roman" w:cs="Times New Roman"/>
          <w:sz w:val="24"/>
          <w:szCs w:val="24"/>
        </w:rPr>
        <w:t xml:space="preserve"> country</w:t>
      </w:r>
      <w:r w:rsidR="00681696" w:rsidRPr="009872B0">
        <w:rPr>
          <w:rFonts w:ascii="Times New Roman" w:hAnsi="Times New Roman" w:cs="Times New Roman"/>
          <w:sz w:val="24"/>
          <w:szCs w:val="24"/>
        </w:rPr>
        <w:t>’</w:t>
      </w:r>
      <w:r w:rsidR="00681696">
        <w:rPr>
          <w:rFonts w:ascii="Times New Roman" w:hAnsi="Times New Roman" w:cs="Times New Roman"/>
          <w:sz w:val="24"/>
          <w:szCs w:val="24"/>
        </w:rPr>
        <w:t>s NPIs</w:t>
      </w:r>
      <w:r w:rsidR="000C531D">
        <w:rPr>
          <w:rFonts w:ascii="Times New Roman" w:hAnsi="Times New Roman" w:cs="Times New Roman"/>
          <w:sz w:val="24"/>
          <w:szCs w:val="24"/>
        </w:rPr>
        <w:t xml:space="preserve"> per day</w:t>
      </w:r>
      <w:r w:rsidR="00681696">
        <w:rPr>
          <w:rFonts w:ascii="Times New Roman" w:hAnsi="Times New Roman" w:cs="Times New Roman"/>
          <w:sz w:val="24"/>
          <w:szCs w:val="24"/>
        </w:rPr>
        <w:t xml:space="preserve">, </w:t>
      </w:r>
      <w:r w:rsidR="000C531D">
        <w:rPr>
          <w:rFonts w:ascii="Times New Roman" w:hAnsi="Times New Roman" w:cs="Times New Roman"/>
          <w:sz w:val="24"/>
          <w:szCs w:val="24"/>
        </w:rPr>
        <w:t xml:space="preserve">each country’s </w:t>
      </w:r>
      <w:r w:rsidR="00681696">
        <w:rPr>
          <w:rFonts w:ascii="Times New Roman" w:hAnsi="Times New Roman" w:cs="Times New Roman"/>
          <w:sz w:val="24"/>
          <w:szCs w:val="24"/>
        </w:rPr>
        <w:t>pre and post vaccination</w:t>
      </w:r>
      <w:r w:rsidR="000C531D">
        <w:rPr>
          <w:rFonts w:ascii="Times New Roman" w:hAnsi="Times New Roman" w:cs="Times New Roman"/>
          <w:sz w:val="24"/>
          <w:szCs w:val="24"/>
        </w:rPr>
        <w:t xml:space="preserve"> period</w:t>
      </w:r>
      <w:r w:rsidR="00681696" w:rsidRPr="009872B0">
        <w:rPr>
          <w:rFonts w:ascii="Times New Roman" w:hAnsi="Times New Roman" w:cs="Times New Roman"/>
          <w:sz w:val="24"/>
          <w:szCs w:val="24"/>
        </w:rPr>
        <w:t xml:space="preserve">, </w:t>
      </w:r>
      <w:r w:rsidR="000C531D">
        <w:rPr>
          <w:rFonts w:ascii="Times New Roman" w:hAnsi="Times New Roman" w:cs="Times New Roman"/>
          <w:sz w:val="24"/>
          <w:szCs w:val="24"/>
        </w:rPr>
        <w:t xml:space="preserve">each country’s per day </w:t>
      </w:r>
      <w:r w:rsidR="00681696">
        <w:rPr>
          <w:rFonts w:ascii="Times New Roman" w:hAnsi="Times New Roman" w:cs="Times New Roman"/>
          <w:sz w:val="24"/>
          <w:szCs w:val="24"/>
        </w:rPr>
        <w:t>dominant</w:t>
      </w:r>
      <w:r w:rsidR="00681696" w:rsidRPr="009872B0">
        <w:rPr>
          <w:rFonts w:ascii="Times New Roman" w:hAnsi="Times New Roman" w:cs="Times New Roman"/>
          <w:sz w:val="24"/>
          <w:szCs w:val="24"/>
        </w:rPr>
        <w:t xml:space="preserve"> virus </w:t>
      </w:r>
      <w:r w:rsidR="00681696">
        <w:rPr>
          <w:rFonts w:ascii="Times New Roman" w:hAnsi="Times New Roman" w:cs="Times New Roman"/>
          <w:sz w:val="24"/>
          <w:szCs w:val="24"/>
        </w:rPr>
        <w:t>variant</w:t>
      </w:r>
      <w:r w:rsidR="00681696" w:rsidRPr="009872B0">
        <w:rPr>
          <w:rFonts w:ascii="Times New Roman" w:hAnsi="Times New Roman" w:cs="Times New Roman"/>
          <w:sz w:val="24"/>
          <w:szCs w:val="24"/>
        </w:rPr>
        <w:t>s</w:t>
      </w:r>
      <w:r w:rsidR="00681696">
        <w:rPr>
          <w:rFonts w:ascii="Times New Roman" w:hAnsi="Times New Roman" w:cs="Times New Roman"/>
          <w:sz w:val="24"/>
          <w:szCs w:val="24"/>
        </w:rPr>
        <w:t xml:space="preserve"> as well as</w:t>
      </w:r>
      <w:r w:rsidR="00681696" w:rsidRPr="009872B0">
        <w:rPr>
          <w:rFonts w:ascii="Times New Roman" w:hAnsi="Times New Roman" w:cs="Times New Roman"/>
          <w:sz w:val="24"/>
          <w:szCs w:val="24"/>
        </w:rPr>
        <w:t xml:space="preserve"> </w:t>
      </w:r>
      <w:r w:rsidR="000C531D">
        <w:rPr>
          <w:rFonts w:ascii="Times New Roman" w:hAnsi="Times New Roman" w:cs="Times New Roman"/>
          <w:sz w:val="24"/>
          <w:szCs w:val="24"/>
        </w:rPr>
        <w:t xml:space="preserve">the </w:t>
      </w:r>
      <w:r w:rsidR="00681696" w:rsidRPr="009872B0">
        <w:rPr>
          <w:rFonts w:ascii="Times New Roman" w:hAnsi="Times New Roman" w:cs="Times New Roman"/>
          <w:sz w:val="24"/>
          <w:szCs w:val="24"/>
        </w:rPr>
        <w:t xml:space="preserve">seasonality </w:t>
      </w:r>
      <w:r w:rsidR="000C531D">
        <w:rPr>
          <w:rFonts w:ascii="Times New Roman" w:hAnsi="Times New Roman" w:cs="Times New Roman"/>
          <w:sz w:val="24"/>
          <w:szCs w:val="24"/>
        </w:rPr>
        <w:t>impact</w:t>
      </w:r>
      <w:r w:rsidR="00681696" w:rsidRPr="009872B0">
        <w:rPr>
          <w:rFonts w:ascii="Times New Roman" w:hAnsi="Times New Roman" w:cs="Times New Roman"/>
          <w:sz w:val="24"/>
          <w:szCs w:val="24"/>
        </w:rPr>
        <w:t>s</w:t>
      </w:r>
      <w:r w:rsidR="009035FA">
        <w:rPr>
          <w:rFonts w:ascii="Times New Roman" w:hAnsi="Times New Roman" w:cs="Times New Roman"/>
          <w:sz w:val="24"/>
          <w:szCs w:val="24"/>
        </w:rPr>
        <w:t xml:space="preserve"> on the spread of the virus</w:t>
      </w:r>
      <w:r w:rsidR="000C531D">
        <w:rPr>
          <w:rFonts w:ascii="Times New Roman" w:hAnsi="Times New Roman" w:cs="Times New Roman"/>
          <w:sz w:val="24"/>
          <w:szCs w:val="24"/>
        </w:rPr>
        <w:t xml:space="preserve"> in each country. </w:t>
      </w:r>
      <w:r>
        <w:rPr>
          <w:rFonts w:ascii="Times New Roman" w:hAnsi="Times New Roman" w:cs="Times New Roman"/>
          <w:sz w:val="24"/>
          <w:szCs w:val="24"/>
        </w:rPr>
        <w:t>The assessments</w:t>
      </w:r>
      <w:r w:rsidR="00655DF1">
        <w:rPr>
          <w:rFonts w:ascii="Times New Roman" w:hAnsi="Times New Roman" w:cs="Times New Roman"/>
          <w:sz w:val="24"/>
          <w:szCs w:val="24"/>
        </w:rPr>
        <w:t xml:space="preserve"> </w:t>
      </w:r>
      <w:r w:rsidR="000C531D">
        <w:rPr>
          <w:rFonts w:ascii="Times New Roman" w:hAnsi="Times New Roman" w:cs="Times New Roman"/>
          <w:sz w:val="24"/>
          <w:szCs w:val="24"/>
        </w:rPr>
        <w:t xml:space="preserve">regarding </w:t>
      </w:r>
      <w:r w:rsidR="000C531D" w:rsidRPr="009872B0">
        <w:rPr>
          <w:rFonts w:ascii="Times New Roman" w:hAnsi="Times New Roman" w:cs="Times New Roman"/>
          <w:sz w:val="24"/>
          <w:szCs w:val="24"/>
        </w:rPr>
        <w:t xml:space="preserve">the </w:t>
      </w:r>
      <w:r w:rsidR="000C531D">
        <w:rPr>
          <w:rFonts w:ascii="Times New Roman" w:hAnsi="Times New Roman" w:cs="Times New Roman"/>
          <w:sz w:val="24"/>
          <w:szCs w:val="24"/>
        </w:rPr>
        <w:t>impact</w:t>
      </w:r>
      <w:r w:rsidR="000C531D" w:rsidRPr="009872B0">
        <w:rPr>
          <w:rFonts w:ascii="Times New Roman" w:hAnsi="Times New Roman" w:cs="Times New Roman"/>
          <w:sz w:val="24"/>
          <w:szCs w:val="24"/>
        </w:rPr>
        <w:t xml:space="preserve"> of</w:t>
      </w:r>
      <w:r w:rsidR="000C531D">
        <w:rPr>
          <w:rFonts w:ascii="Times New Roman" w:hAnsi="Times New Roman" w:cs="Times New Roman"/>
          <w:sz w:val="24"/>
          <w:szCs w:val="24"/>
        </w:rPr>
        <w:t xml:space="preserve"> the influential factors </w:t>
      </w:r>
      <w:r w:rsidR="00655DF1">
        <w:rPr>
          <w:rFonts w:ascii="Times New Roman" w:hAnsi="Times New Roman" w:cs="Times New Roman"/>
          <w:sz w:val="24"/>
          <w:szCs w:val="24"/>
        </w:rPr>
        <w:t xml:space="preserve">reveal similar patterns </w:t>
      </w:r>
      <w:r w:rsidR="00E80A72">
        <w:rPr>
          <w:rFonts w:ascii="Times New Roman" w:hAnsi="Times New Roman" w:cs="Times New Roman"/>
          <w:sz w:val="24"/>
          <w:szCs w:val="24"/>
        </w:rPr>
        <w:t>over</w:t>
      </w:r>
      <w:r w:rsidR="000C531D">
        <w:rPr>
          <w:rFonts w:ascii="Times New Roman" w:hAnsi="Times New Roman" w:cs="Times New Roman"/>
          <w:sz w:val="24"/>
          <w:szCs w:val="24"/>
        </w:rPr>
        <w:t xml:space="preserve"> the studied countries</w:t>
      </w:r>
      <w:r w:rsidR="00655DF1">
        <w:rPr>
          <w:rFonts w:ascii="Times New Roman" w:hAnsi="Times New Roman" w:cs="Times New Roman"/>
          <w:sz w:val="24"/>
          <w:szCs w:val="24"/>
        </w:rPr>
        <w:t xml:space="preserve"> and</w:t>
      </w:r>
      <w:r>
        <w:rPr>
          <w:rFonts w:ascii="Times New Roman" w:hAnsi="Times New Roman" w:cs="Times New Roman"/>
          <w:sz w:val="24"/>
          <w:szCs w:val="24"/>
        </w:rPr>
        <w:t xml:space="preserve"> lend </w:t>
      </w:r>
      <w:r w:rsidRPr="001412F3">
        <w:rPr>
          <w:rFonts w:ascii="Times New Roman" w:hAnsi="Times New Roman" w:cs="Times New Roman"/>
          <w:sz w:val="24"/>
          <w:szCs w:val="24"/>
        </w:rPr>
        <w:t xml:space="preserve">themselves </w:t>
      </w:r>
      <w:r>
        <w:rPr>
          <w:rFonts w:ascii="Times New Roman" w:hAnsi="Times New Roman" w:cs="Times New Roman"/>
          <w:sz w:val="24"/>
          <w:szCs w:val="24"/>
        </w:rPr>
        <w:t>to inform public health policy and contribute to reasonable selection of prevention policies in the subsequent or future epidemics</w:t>
      </w:r>
      <w:r w:rsidR="00DF2F8E">
        <w:rPr>
          <w:rFonts w:ascii="Times New Roman" w:hAnsi="Times New Roman" w:cs="Times New Roman"/>
          <w:sz w:val="24"/>
          <w:szCs w:val="24"/>
        </w:rPr>
        <w:t>.</w:t>
      </w:r>
    </w:p>
    <w:p w:rsidR="008A6B28" w:rsidRDefault="00DF2F8E">
      <w:pPr>
        <w:pStyle w:val="Heading2"/>
        <w:numPr>
          <w:ilvl w:val="0"/>
          <w:numId w:val="5"/>
        </w:numPr>
        <w:spacing w:line="360" w:lineRule="auto"/>
        <w:rPr>
          <w:rFonts w:ascii="Times New Roman" w:hAnsi="Times New Roman" w:cs="Times New Roman"/>
          <w:sz w:val="28"/>
          <w:szCs w:val="28"/>
        </w:rPr>
      </w:pPr>
      <w:r>
        <w:rPr>
          <w:rFonts w:ascii="Times New Roman" w:hAnsi="Times New Roman" w:cs="Times New Roman"/>
          <w:sz w:val="28"/>
          <w:szCs w:val="28"/>
        </w:rPr>
        <w:t>Introduction</w:t>
      </w:r>
    </w:p>
    <w:p w:rsidR="008A6B28" w:rsidRDefault="00597D30" w:rsidP="00DB3980">
      <w:pPr>
        <w:spacing w:after="0" w:line="360" w:lineRule="auto"/>
        <w:jc w:val="both"/>
        <w:rPr>
          <w:rFonts w:ascii="Times New Roman" w:hAnsi="Times New Roman" w:cs="Times New Roman"/>
          <w:sz w:val="24"/>
          <w:szCs w:val="24"/>
        </w:rPr>
      </w:pPr>
      <w:r w:rsidRPr="009872B0">
        <w:rPr>
          <w:rFonts w:ascii="Times New Roman" w:hAnsi="Times New Roman" w:cs="Times New Roman"/>
          <w:sz w:val="24"/>
          <w:szCs w:val="24"/>
        </w:rPr>
        <w:t xml:space="preserve">While governments’ vaccination and non-pharmaceutical interventions (NPI) are generally acknowledged to control the spread of the virus during the recent SARS-CoV-2 pandemic, evidence-based research in order to convey analysis regarding the effectiveness of the governments’ policies – are proceeding. Our research aims at running a comprehensive </w:t>
      </w:r>
      <w:r>
        <w:rPr>
          <w:rFonts w:ascii="Times New Roman" w:hAnsi="Times New Roman" w:cs="Times New Roman"/>
          <w:sz w:val="24"/>
          <w:szCs w:val="24"/>
        </w:rPr>
        <w:t>longitudinal</w:t>
      </w:r>
      <w:r w:rsidR="00C32D96">
        <w:rPr>
          <w:rFonts w:ascii="Times New Roman" w:hAnsi="Times New Roman" w:cs="Times New Roman"/>
          <w:sz w:val="24"/>
          <w:szCs w:val="24"/>
        </w:rPr>
        <w:t xml:space="preserve"> analysis</w:t>
      </w:r>
      <w:r w:rsidRPr="009872B0">
        <w:rPr>
          <w:rFonts w:ascii="Times New Roman" w:hAnsi="Times New Roman" w:cs="Times New Roman"/>
          <w:sz w:val="24"/>
          <w:szCs w:val="24"/>
        </w:rPr>
        <w:t xml:space="preserve"> capable to draw inferences from the data of European countries’ policies between the early 2020 up to the middle of</w:t>
      </w:r>
      <w:r>
        <w:rPr>
          <w:rFonts w:ascii="Times New Roman" w:hAnsi="Times New Roman" w:cs="Times New Roman"/>
          <w:sz w:val="24"/>
          <w:szCs w:val="24"/>
        </w:rPr>
        <w:t xml:space="preserve"> the year 2022</w:t>
      </w:r>
      <w:r w:rsidR="00DF2F8E">
        <w:rPr>
          <w:rFonts w:ascii="Times New Roman" w:hAnsi="Times New Roman" w:cs="Times New Roman"/>
          <w:sz w:val="24"/>
          <w:szCs w:val="24"/>
        </w:rPr>
        <w:t xml:space="preserve">. </w:t>
      </w:r>
    </w:p>
    <w:p w:rsidR="008A6B28" w:rsidRDefault="002B55D9" w:rsidP="002B55D9">
      <w:pPr>
        <w:spacing w:after="0" w:line="360" w:lineRule="auto"/>
        <w:jc w:val="both"/>
        <w:rPr>
          <w:rFonts w:ascii="Times New Roman" w:hAnsi="Times New Roman" w:cs="Times New Roman"/>
          <w:sz w:val="24"/>
          <w:szCs w:val="24"/>
        </w:rPr>
      </w:pPr>
      <w:r w:rsidRPr="009872B0">
        <w:rPr>
          <w:rFonts w:ascii="Times New Roman" w:hAnsi="Times New Roman" w:cs="Times New Roman"/>
          <w:sz w:val="24"/>
          <w:szCs w:val="24"/>
        </w:rPr>
        <w:t>A number of preceding studies have estimated the effectiveness of vaccination policies and NPIs across different spatial and temporal scopes of the globe relying on different input variables and analytical approaches</w:t>
      </w:r>
      <w:r>
        <w:rPr>
          <w:rFonts w:ascii="Times New Roman" w:hAnsi="Times New Roman" w:cs="Times New Roman"/>
          <w:sz w:val="24"/>
          <w:szCs w:val="24"/>
        </w:rPr>
        <w:t>. The outcomes of the existing literature</w:t>
      </w:r>
      <w:r w:rsidRPr="009872B0">
        <w:rPr>
          <w:rFonts w:ascii="Times New Roman" w:hAnsi="Times New Roman" w:cs="Times New Roman"/>
          <w:sz w:val="24"/>
          <w:szCs w:val="24"/>
        </w:rPr>
        <w:t xml:space="preserve"> are partially overlapping but simultaneously are not entirely consistent with each other</w:t>
      </w:r>
      <w:r>
        <w:rPr>
          <w:rFonts w:ascii="Times New Roman" w:hAnsi="Times New Roman" w:cs="Times New Roman"/>
          <w:sz w:val="24"/>
          <w:szCs w:val="24"/>
        </w:rPr>
        <w:t xml:space="preserve">. </w:t>
      </w:r>
      <w:r w:rsidR="00DF2F8E">
        <w:rPr>
          <w:rFonts w:ascii="Times New Roman" w:hAnsi="Times New Roman" w:cs="Times New Roman"/>
          <w:sz w:val="24"/>
          <w:szCs w:val="24"/>
        </w:rPr>
        <w:t xml:space="preserve">Hence, exploring more insights with regard to control the growth of epidemic needs further </w:t>
      </w:r>
      <w:r>
        <w:rPr>
          <w:rFonts w:ascii="Times New Roman" w:hAnsi="Times New Roman" w:cs="Times New Roman"/>
          <w:sz w:val="24"/>
          <w:szCs w:val="24"/>
        </w:rPr>
        <w:t>analytical approaches</w:t>
      </w:r>
      <w:r w:rsidR="00DF2F8E">
        <w:rPr>
          <w:rFonts w:ascii="Times New Roman" w:hAnsi="Times New Roman" w:cs="Times New Roman"/>
          <w:sz w:val="24"/>
          <w:szCs w:val="24"/>
        </w:rPr>
        <w:t xml:space="preserve">. </w:t>
      </w:r>
    </w:p>
    <w:p w:rsidR="008A6B28" w:rsidRDefault="00030E22" w:rsidP="00BC16AF">
      <w:pPr>
        <w:spacing w:after="0" w:line="360" w:lineRule="auto"/>
        <w:jc w:val="both"/>
        <w:rPr>
          <w:rFonts w:ascii="Times New Roman" w:hAnsi="Times New Roman" w:cs="Times New Roman"/>
          <w:sz w:val="24"/>
          <w:szCs w:val="24"/>
        </w:rPr>
      </w:pPr>
      <w:r>
        <w:rPr>
          <w:rFonts w:ascii="Times New Roman" w:hAnsi="Times New Roman" w:cs="Times New Roman"/>
          <w:sz w:val="24"/>
          <w:szCs w:val="24"/>
        </w:rPr>
        <w:lastRenderedPageBreak/>
        <w:t>Among</w:t>
      </w:r>
      <w:r w:rsidR="00BC16AF">
        <w:rPr>
          <w:rFonts w:ascii="Times New Roman" w:hAnsi="Times New Roman" w:cs="Times New Roman"/>
          <w:sz w:val="24"/>
          <w:szCs w:val="24"/>
        </w:rPr>
        <w:t xml:space="preserve"> other studies, a </w:t>
      </w:r>
      <w:r w:rsidR="00BC16AF">
        <w:rPr>
          <w:rFonts w:ascii="Times New Roman" w:hAnsi="Times New Roman" w:cs="Times New Roman"/>
          <w:sz w:val="24"/>
          <w:szCs w:val="24"/>
        </w:rPr>
        <w:t>longitudinal</w:t>
      </w:r>
      <w:r w:rsidR="00BC16AF">
        <w:rPr>
          <w:rFonts w:ascii="Times New Roman" w:hAnsi="Times New Roman" w:cs="Times New Roman"/>
          <w:sz w:val="24"/>
          <w:szCs w:val="24"/>
        </w:rPr>
        <w:t xml:space="preserve"> </w:t>
      </w:r>
      <w:r>
        <w:rPr>
          <w:rFonts w:ascii="Times New Roman" w:hAnsi="Times New Roman" w:cs="Times New Roman"/>
          <w:sz w:val="24"/>
          <w:szCs w:val="24"/>
        </w:rPr>
        <w:t xml:space="preserve">analysis </w:t>
      </w:r>
      <w:r w:rsidR="00BC16AF">
        <w:rPr>
          <w:rFonts w:ascii="Times New Roman" w:hAnsi="Times New Roman" w:cs="Times New Roman"/>
          <w:sz w:val="24"/>
          <w:szCs w:val="24"/>
        </w:rPr>
        <w:t>with regard to</w:t>
      </w:r>
      <w:r>
        <w:rPr>
          <w:rFonts w:ascii="Times New Roman" w:hAnsi="Times New Roman" w:cs="Times New Roman"/>
          <w:sz w:val="24"/>
          <w:szCs w:val="24"/>
        </w:rPr>
        <w:t xml:space="preserve"> </w:t>
      </w:r>
      <w:r w:rsidRPr="00B21E83">
        <w:rPr>
          <w:rFonts w:ascii="Times New Roman" w:hAnsi="Times New Roman" w:cs="Times New Roman"/>
          <w:sz w:val="24"/>
          <w:szCs w:val="24"/>
        </w:rPr>
        <w:t xml:space="preserve">the </w:t>
      </w:r>
      <w:r w:rsidR="00BC16AF">
        <w:rPr>
          <w:rFonts w:ascii="Times New Roman" w:hAnsi="Times New Roman" w:cs="Times New Roman"/>
          <w:sz w:val="24"/>
          <w:szCs w:val="24"/>
        </w:rPr>
        <w:t xml:space="preserve">relationship between </w:t>
      </w:r>
      <w:r>
        <w:rPr>
          <w:rFonts w:ascii="Times New Roman" w:hAnsi="Times New Roman" w:cs="Times New Roman"/>
          <w:sz w:val="24"/>
          <w:szCs w:val="24"/>
        </w:rPr>
        <w:t>pandemic growth rates</w:t>
      </w:r>
      <w:r w:rsidRPr="00B21E83">
        <w:rPr>
          <w:rFonts w:ascii="Times New Roman" w:hAnsi="Times New Roman" w:cs="Times New Roman"/>
          <w:sz w:val="24"/>
          <w:szCs w:val="24"/>
        </w:rPr>
        <w:t xml:space="preserve"> </w:t>
      </w:r>
      <w:r>
        <w:rPr>
          <w:rFonts w:ascii="Times New Roman" w:hAnsi="Times New Roman" w:cs="Times New Roman"/>
          <w:sz w:val="24"/>
          <w:szCs w:val="24"/>
        </w:rPr>
        <w:t xml:space="preserve">and various </w:t>
      </w:r>
      <w:r w:rsidR="00D41B8B">
        <w:rPr>
          <w:rFonts w:ascii="Times New Roman" w:hAnsi="Times New Roman" w:cs="Times New Roman"/>
          <w:sz w:val="24"/>
          <w:szCs w:val="24"/>
        </w:rPr>
        <w:t>pandemic influential factors</w:t>
      </w:r>
      <w:r>
        <w:rPr>
          <w:rFonts w:ascii="Times New Roman" w:hAnsi="Times New Roman" w:cs="Times New Roman"/>
          <w:sz w:val="24"/>
          <w:szCs w:val="24"/>
        </w:rPr>
        <w:t xml:space="preserve"> </w:t>
      </w:r>
      <w:r w:rsidR="00D41B8B">
        <w:rPr>
          <w:rFonts w:ascii="Times New Roman" w:hAnsi="Times New Roman" w:cs="Times New Roman"/>
          <w:sz w:val="24"/>
          <w:szCs w:val="24"/>
        </w:rPr>
        <w:t>by means of the</w:t>
      </w:r>
      <w:r w:rsidR="00A46D34">
        <w:rPr>
          <w:rFonts w:ascii="Times New Roman" w:hAnsi="Times New Roman" w:cs="Times New Roman"/>
          <w:sz w:val="24"/>
          <w:szCs w:val="24"/>
        </w:rPr>
        <w:t xml:space="preserve"> </w:t>
      </w:r>
      <w:r w:rsidR="00D41B8B">
        <w:rPr>
          <w:rFonts w:ascii="Times New Roman" w:hAnsi="Times New Roman" w:cs="Times New Roman"/>
          <w:sz w:val="24"/>
          <w:szCs w:val="24"/>
        </w:rPr>
        <w:t xml:space="preserve">data </w:t>
      </w:r>
      <w:r w:rsidR="00A46D34">
        <w:rPr>
          <w:rFonts w:ascii="Times New Roman" w:hAnsi="Times New Roman" w:cs="Times New Roman"/>
          <w:sz w:val="24"/>
          <w:szCs w:val="24"/>
        </w:rPr>
        <w:t>from</w:t>
      </w:r>
      <w:r w:rsidR="00D41B8B">
        <w:rPr>
          <w:rFonts w:ascii="Times New Roman" w:hAnsi="Times New Roman" w:cs="Times New Roman"/>
          <w:sz w:val="24"/>
          <w:szCs w:val="24"/>
        </w:rPr>
        <w:t xml:space="preserve"> European countries</w:t>
      </w:r>
      <w:r w:rsidR="00D41B8B">
        <w:rPr>
          <w:rFonts w:ascii="Times New Roman" w:hAnsi="Times New Roman" w:cs="Times New Roman"/>
          <w:sz w:val="24"/>
          <w:szCs w:val="24"/>
        </w:rPr>
        <w:t xml:space="preserve"> </w:t>
      </w:r>
      <w:r>
        <w:rPr>
          <w:rFonts w:ascii="Times New Roman" w:hAnsi="Times New Roman" w:cs="Times New Roman"/>
          <w:sz w:val="24"/>
          <w:szCs w:val="24"/>
        </w:rPr>
        <w:t>is</w:t>
      </w:r>
      <w:r w:rsidR="00D41B8B">
        <w:rPr>
          <w:rFonts w:ascii="Times New Roman" w:hAnsi="Times New Roman" w:cs="Times New Roman"/>
          <w:sz w:val="24"/>
          <w:szCs w:val="24"/>
        </w:rPr>
        <w:t xml:space="preserve"> detected by us as</w:t>
      </w:r>
      <w:r>
        <w:rPr>
          <w:rFonts w:ascii="Times New Roman" w:hAnsi="Times New Roman" w:cs="Times New Roman"/>
          <w:sz w:val="24"/>
          <w:szCs w:val="24"/>
        </w:rPr>
        <w:t xml:space="preserve"> </w:t>
      </w:r>
      <w:r w:rsidR="00DF2F8E">
        <w:rPr>
          <w:rFonts w:ascii="Times New Roman" w:hAnsi="Times New Roman" w:cs="Times New Roman"/>
          <w:sz w:val="24"/>
          <w:szCs w:val="24"/>
        </w:rPr>
        <w:t xml:space="preserve">a relevant research gap. A Bayesian assessment of the growth rates of the </w:t>
      </w:r>
      <w:r>
        <w:rPr>
          <w:rFonts w:ascii="Times New Roman" w:hAnsi="Times New Roman" w:cs="Times New Roman"/>
          <w:sz w:val="24"/>
          <w:szCs w:val="24"/>
        </w:rPr>
        <w:t>pandemic</w:t>
      </w:r>
      <w:r w:rsidR="00DF2F8E">
        <w:rPr>
          <w:rFonts w:ascii="Times New Roman" w:hAnsi="Times New Roman" w:cs="Times New Roman"/>
          <w:sz w:val="24"/>
          <w:szCs w:val="24"/>
        </w:rPr>
        <w:t xml:space="preserve"> with incorporation of </w:t>
      </w:r>
      <w:r w:rsidR="00A46D34">
        <w:rPr>
          <w:rFonts w:ascii="Times New Roman" w:hAnsi="Times New Roman" w:cs="Times New Roman"/>
          <w:sz w:val="24"/>
          <w:szCs w:val="24"/>
        </w:rPr>
        <w:t xml:space="preserve">a </w:t>
      </w:r>
      <w:r w:rsidR="00D41B8B" w:rsidRPr="009872B0">
        <w:rPr>
          <w:rFonts w:ascii="Times New Roman" w:hAnsi="Times New Roman" w:cs="Times New Roman"/>
          <w:sz w:val="24"/>
          <w:szCs w:val="24"/>
        </w:rPr>
        <w:t xml:space="preserve">comprehensive </w:t>
      </w:r>
      <w:r w:rsidR="00D41B8B">
        <w:rPr>
          <w:rFonts w:ascii="Times New Roman" w:hAnsi="Times New Roman" w:cs="Times New Roman"/>
          <w:sz w:val="24"/>
          <w:szCs w:val="24"/>
        </w:rPr>
        <w:t>set</w:t>
      </w:r>
      <w:r w:rsidR="00D41B8B" w:rsidRPr="009872B0">
        <w:rPr>
          <w:rFonts w:ascii="Times New Roman" w:hAnsi="Times New Roman" w:cs="Times New Roman"/>
          <w:sz w:val="24"/>
          <w:szCs w:val="24"/>
        </w:rPr>
        <w:t xml:space="preserve"> of </w:t>
      </w:r>
      <w:r w:rsidR="00D41B8B">
        <w:rPr>
          <w:rFonts w:ascii="Times New Roman" w:hAnsi="Times New Roman" w:cs="Times New Roman"/>
          <w:sz w:val="24"/>
          <w:szCs w:val="24"/>
        </w:rPr>
        <w:t xml:space="preserve">pandemic </w:t>
      </w:r>
      <w:r w:rsidR="00D41B8B" w:rsidRPr="009872B0">
        <w:rPr>
          <w:rFonts w:ascii="Times New Roman" w:hAnsi="Times New Roman" w:cs="Times New Roman"/>
          <w:sz w:val="24"/>
          <w:szCs w:val="24"/>
        </w:rPr>
        <w:t xml:space="preserve">influential factors </w:t>
      </w:r>
      <w:r w:rsidR="00D41B8B">
        <w:rPr>
          <w:rFonts w:ascii="Times New Roman" w:hAnsi="Times New Roman" w:cs="Times New Roman"/>
          <w:sz w:val="24"/>
          <w:szCs w:val="24"/>
        </w:rPr>
        <w:t>comprising</w:t>
      </w:r>
      <w:r w:rsidR="00D41B8B" w:rsidRPr="009872B0">
        <w:rPr>
          <w:rFonts w:ascii="Times New Roman" w:hAnsi="Times New Roman" w:cs="Times New Roman"/>
          <w:sz w:val="24"/>
          <w:szCs w:val="24"/>
        </w:rPr>
        <w:t xml:space="preserve"> </w:t>
      </w:r>
      <w:r w:rsidR="00A46D34">
        <w:rPr>
          <w:rFonts w:ascii="Times New Roman" w:hAnsi="Times New Roman" w:cs="Times New Roman"/>
          <w:sz w:val="24"/>
          <w:szCs w:val="24"/>
        </w:rPr>
        <w:t>each country’s</w:t>
      </w:r>
      <w:r w:rsidR="00D41B8B" w:rsidRPr="009872B0">
        <w:rPr>
          <w:rFonts w:ascii="Times New Roman" w:hAnsi="Times New Roman" w:cs="Times New Roman"/>
          <w:sz w:val="24"/>
          <w:szCs w:val="24"/>
        </w:rPr>
        <w:t xml:space="preserve"> NPIs </w:t>
      </w:r>
      <w:r w:rsidR="00BC16AF">
        <w:rPr>
          <w:rFonts w:ascii="Times New Roman" w:hAnsi="Times New Roman" w:cs="Times New Roman"/>
          <w:sz w:val="24"/>
          <w:szCs w:val="24"/>
        </w:rPr>
        <w:t>as well as the</w:t>
      </w:r>
      <w:r w:rsidR="00D41B8B" w:rsidRPr="009872B0">
        <w:rPr>
          <w:rFonts w:ascii="Times New Roman" w:hAnsi="Times New Roman" w:cs="Times New Roman"/>
          <w:sz w:val="24"/>
          <w:szCs w:val="24"/>
        </w:rPr>
        <w:t xml:space="preserve"> </w:t>
      </w:r>
      <w:r w:rsidR="00A46D34">
        <w:rPr>
          <w:rFonts w:ascii="Times New Roman" w:hAnsi="Times New Roman" w:cs="Times New Roman"/>
          <w:sz w:val="24"/>
          <w:szCs w:val="24"/>
        </w:rPr>
        <w:t>pre and post vaccination periods</w:t>
      </w:r>
      <w:r w:rsidR="00A46D34">
        <w:rPr>
          <w:rFonts w:ascii="Times New Roman" w:hAnsi="Times New Roman" w:cs="Times New Roman"/>
          <w:sz w:val="24"/>
          <w:szCs w:val="24"/>
        </w:rPr>
        <w:t>,</w:t>
      </w:r>
      <w:r w:rsidR="00A46D34" w:rsidRPr="009872B0">
        <w:rPr>
          <w:rFonts w:ascii="Times New Roman" w:hAnsi="Times New Roman" w:cs="Times New Roman"/>
          <w:sz w:val="24"/>
          <w:szCs w:val="24"/>
        </w:rPr>
        <w:t xml:space="preserve"> </w:t>
      </w:r>
      <w:r w:rsidR="00D41B8B">
        <w:rPr>
          <w:rFonts w:ascii="Times New Roman" w:hAnsi="Times New Roman" w:cs="Times New Roman"/>
          <w:sz w:val="24"/>
          <w:szCs w:val="24"/>
        </w:rPr>
        <w:t>dominant</w:t>
      </w:r>
      <w:r w:rsidR="00D41B8B">
        <w:rPr>
          <w:rFonts w:ascii="Times New Roman" w:hAnsi="Times New Roman" w:cs="Times New Roman"/>
          <w:sz w:val="24"/>
          <w:szCs w:val="24"/>
        </w:rPr>
        <w:t xml:space="preserve"> </w:t>
      </w:r>
      <w:r w:rsidR="00D41B8B" w:rsidRPr="009872B0">
        <w:rPr>
          <w:rFonts w:ascii="Times New Roman" w:hAnsi="Times New Roman" w:cs="Times New Roman"/>
          <w:sz w:val="24"/>
          <w:szCs w:val="24"/>
        </w:rPr>
        <w:t xml:space="preserve">various virus </w:t>
      </w:r>
      <w:r w:rsidR="00A46D34">
        <w:rPr>
          <w:rFonts w:ascii="Times New Roman" w:hAnsi="Times New Roman" w:cs="Times New Roman"/>
          <w:sz w:val="24"/>
          <w:szCs w:val="24"/>
        </w:rPr>
        <w:t>variants</w:t>
      </w:r>
      <w:r w:rsidR="00D41B8B" w:rsidRPr="009872B0">
        <w:rPr>
          <w:rFonts w:ascii="Times New Roman" w:hAnsi="Times New Roman" w:cs="Times New Roman"/>
          <w:sz w:val="24"/>
          <w:szCs w:val="24"/>
        </w:rPr>
        <w:t xml:space="preserve"> and </w:t>
      </w:r>
      <w:r w:rsidR="00BC16AF" w:rsidRPr="009872B0">
        <w:rPr>
          <w:rFonts w:ascii="Times New Roman" w:hAnsi="Times New Roman" w:cs="Times New Roman"/>
          <w:sz w:val="24"/>
          <w:szCs w:val="24"/>
        </w:rPr>
        <w:t>seasonalit</w:t>
      </w:r>
      <w:r w:rsidR="00BC16AF">
        <w:rPr>
          <w:rFonts w:ascii="Times New Roman" w:hAnsi="Times New Roman" w:cs="Times New Roman"/>
          <w:sz w:val="24"/>
          <w:szCs w:val="24"/>
        </w:rPr>
        <w:t xml:space="preserve">y </w:t>
      </w:r>
      <w:r w:rsidR="00A46D34">
        <w:rPr>
          <w:rFonts w:ascii="Times New Roman" w:hAnsi="Times New Roman" w:cs="Times New Roman"/>
          <w:sz w:val="24"/>
          <w:szCs w:val="24"/>
        </w:rPr>
        <w:t>in each country</w:t>
      </w:r>
      <w:r w:rsidR="00DF2F8E">
        <w:rPr>
          <w:rFonts w:ascii="Times New Roman" w:hAnsi="Times New Roman" w:cs="Times New Roman"/>
          <w:sz w:val="24"/>
          <w:szCs w:val="24"/>
        </w:rPr>
        <w:t xml:space="preserve"> </w:t>
      </w:r>
      <w:r>
        <w:rPr>
          <w:rFonts w:ascii="Times New Roman" w:hAnsi="Times New Roman" w:cs="Times New Roman"/>
          <w:sz w:val="24"/>
          <w:szCs w:val="24"/>
        </w:rPr>
        <w:t>is realized</w:t>
      </w:r>
      <w:r w:rsidR="00DF2F8E">
        <w:rPr>
          <w:rFonts w:ascii="Times New Roman" w:hAnsi="Times New Roman" w:cs="Times New Roman"/>
          <w:sz w:val="24"/>
          <w:szCs w:val="24"/>
        </w:rPr>
        <w:t xml:space="preserve"> in this paper.  </w:t>
      </w:r>
    </w:p>
    <w:p w:rsidR="008A6B28" w:rsidRDefault="00DF2F8E" w:rsidP="00163FBD">
      <w:pPr>
        <w:spacing w:after="0" w:line="360" w:lineRule="auto"/>
        <w:jc w:val="both"/>
        <w:rPr>
          <w:rFonts w:ascii="Times New Roman" w:hAnsi="Times New Roman" w:cs="Times New Roman"/>
          <w:sz w:val="24"/>
          <w:szCs w:val="24"/>
        </w:rPr>
      </w:pPr>
      <w:r>
        <w:rPr>
          <w:rFonts w:ascii="Times New Roman" w:hAnsi="Times New Roman" w:cs="Times New Roman"/>
          <w:sz w:val="24"/>
          <w:szCs w:val="24"/>
        </w:rPr>
        <w:t>The core m</w:t>
      </w:r>
      <w:r w:rsidR="00951A1D">
        <w:rPr>
          <w:rFonts w:ascii="Times New Roman" w:hAnsi="Times New Roman" w:cs="Times New Roman"/>
          <w:sz w:val="24"/>
          <w:szCs w:val="24"/>
        </w:rPr>
        <w:t>odel</w:t>
      </w:r>
      <w:r>
        <w:rPr>
          <w:rFonts w:ascii="Times New Roman" w:hAnsi="Times New Roman" w:cs="Times New Roman"/>
          <w:sz w:val="24"/>
          <w:szCs w:val="24"/>
        </w:rPr>
        <w:t xml:space="preserve"> </w:t>
      </w:r>
      <w:r w:rsidR="00163FBD">
        <w:rPr>
          <w:rFonts w:ascii="Times New Roman" w:hAnsi="Times New Roman" w:cs="Times New Roman"/>
          <w:sz w:val="24"/>
          <w:szCs w:val="24"/>
        </w:rPr>
        <w:t>of</w:t>
      </w:r>
      <w:r>
        <w:rPr>
          <w:rFonts w:ascii="Times New Roman" w:hAnsi="Times New Roman" w:cs="Times New Roman"/>
          <w:sz w:val="24"/>
          <w:szCs w:val="24"/>
        </w:rPr>
        <w:t xml:space="preserve"> our study compares two distinct conditions for each element of the </w:t>
      </w:r>
      <w:r w:rsidR="00163FBD">
        <w:rPr>
          <w:rFonts w:ascii="Times New Roman" w:hAnsi="Times New Roman" w:cs="Times New Roman"/>
          <w:sz w:val="24"/>
          <w:szCs w:val="24"/>
        </w:rPr>
        <w:t>set</w:t>
      </w:r>
      <w:r w:rsidR="00163FBD" w:rsidRPr="009872B0">
        <w:rPr>
          <w:rFonts w:ascii="Times New Roman" w:hAnsi="Times New Roman" w:cs="Times New Roman"/>
          <w:sz w:val="24"/>
          <w:szCs w:val="24"/>
        </w:rPr>
        <w:t xml:space="preserve"> of </w:t>
      </w:r>
      <w:r w:rsidR="00163FBD">
        <w:rPr>
          <w:rFonts w:ascii="Times New Roman" w:hAnsi="Times New Roman" w:cs="Times New Roman"/>
          <w:sz w:val="24"/>
          <w:szCs w:val="24"/>
        </w:rPr>
        <w:t xml:space="preserve">pandemic </w:t>
      </w:r>
      <w:r w:rsidR="00163FBD" w:rsidRPr="009872B0">
        <w:rPr>
          <w:rFonts w:ascii="Times New Roman" w:hAnsi="Times New Roman" w:cs="Times New Roman"/>
          <w:sz w:val="24"/>
          <w:szCs w:val="24"/>
        </w:rPr>
        <w:t>influential factors</w:t>
      </w:r>
      <w:r w:rsidR="00163FBD">
        <w:rPr>
          <w:rFonts w:ascii="Times New Roman" w:hAnsi="Times New Roman" w:cs="Times New Roman"/>
          <w:sz w:val="24"/>
          <w:szCs w:val="24"/>
        </w:rPr>
        <w:t xml:space="preserve"> </w:t>
      </w:r>
      <w:r w:rsidR="00951A1D">
        <w:rPr>
          <w:rFonts w:ascii="Times New Roman" w:hAnsi="Times New Roman" w:cs="Times New Roman"/>
          <w:sz w:val="24"/>
          <w:szCs w:val="24"/>
        </w:rPr>
        <w:t>in each European country</w:t>
      </w:r>
      <w:r>
        <w:rPr>
          <w:rFonts w:ascii="Times New Roman" w:hAnsi="Times New Roman" w:cs="Times New Roman"/>
          <w:sz w:val="24"/>
          <w:szCs w:val="24"/>
        </w:rPr>
        <w:t xml:space="preserve">, in which it explores the (predictive) distribution of pandemic growth rates when a selected </w:t>
      </w:r>
      <w:r w:rsidR="00163FBD">
        <w:rPr>
          <w:rFonts w:ascii="Times New Roman" w:hAnsi="Times New Roman" w:cs="Times New Roman"/>
          <w:sz w:val="24"/>
          <w:szCs w:val="24"/>
        </w:rPr>
        <w:t>influential factor (as an explanatory variable)</w:t>
      </w:r>
      <w:r>
        <w:rPr>
          <w:rFonts w:ascii="Times New Roman" w:hAnsi="Times New Roman" w:cs="Times New Roman"/>
          <w:sz w:val="24"/>
          <w:szCs w:val="24"/>
        </w:rPr>
        <w:t xml:space="preserve"> has been active and </w:t>
      </w:r>
      <w:r w:rsidR="00163FBD">
        <w:rPr>
          <w:rFonts w:ascii="Times New Roman" w:hAnsi="Times New Roman" w:cs="Times New Roman"/>
          <w:sz w:val="24"/>
          <w:szCs w:val="24"/>
        </w:rPr>
        <w:t xml:space="preserve">it explores the (predictive) distribution of pandemic growth rates when </w:t>
      </w:r>
      <w:r w:rsidR="00163FBD">
        <w:rPr>
          <w:rFonts w:ascii="Times New Roman" w:hAnsi="Times New Roman" w:cs="Times New Roman"/>
          <w:sz w:val="24"/>
          <w:szCs w:val="24"/>
        </w:rPr>
        <w:t>the</w:t>
      </w:r>
      <w:r w:rsidR="00163FBD">
        <w:rPr>
          <w:rFonts w:ascii="Times New Roman" w:hAnsi="Times New Roman" w:cs="Times New Roman"/>
          <w:sz w:val="24"/>
          <w:szCs w:val="24"/>
        </w:rPr>
        <w:t xml:space="preserve"> selected explanatory variable has </w:t>
      </w:r>
      <w:r w:rsidR="00163FBD">
        <w:rPr>
          <w:rFonts w:ascii="Times New Roman" w:hAnsi="Times New Roman" w:cs="Times New Roman"/>
          <w:sz w:val="24"/>
          <w:szCs w:val="24"/>
        </w:rPr>
        <w:t xml:space="preserve">not </w:t>
      </w:r>
      <w:r w:rsidR="00163FBD">
        <w:rPr>
          <w:rFonts w:ascii="Times New Roman" w:hAnsi="Times New Roman" w:cs="Times New Roman"/>
          <w:sz w:val="24"/>
          <w:szCs w:val="24"/>
        </w:rPr>
        <w:t xml:space="preserve">been active </w:t>
      </w:r>
      <w:r>
        <w:rPr>
          <w:rFonts w:ascii="Times New Roman" w:hAnsi="Times New Roman" w:cs="Times New Roman"/>
          <w:sz w:val="24"/>
          <w:szCs w:val="24"/>
        </w:rPr>
        <w:t>and conveys the probability of whether and to which degree, activa</w:t>
      </w:r>
      <w:r w:rsidR="00163FBD">
        <w:rPr>
          <w:rFonts w:ascii="Times New Roman" w:hAnsi="Times New Roman" w:cs="Times New Roman"/>
          <w:sz w:val="24"/>
          <w:szCs w:val="24"/>
        </w:rPr>
        <w:t>tion of</w:t>
      </w:r>
      <w:r>
        <w:rPr>
          <w:rFonts w:ascii="Times New Roman" w:hAnsi="Times New Roman" w:cs="Times New Roman"/>
          <w:sz w:val="24"/>
          <w:szCs w:val="24"/>
        </w:rPr>
        <w:t xml:space="preserve"> the selected </w:t>
      </w:r>
      <w:r w:rsidR="00163FBD">
        <w:rPr>
          <w:rFonts w:ascii="Times New Roman" w:hAnsi="Times New Roman" w:cs="Times New Roman"/>
          <w:sz w:val="24"/>
          <w:szCs w:val="24"/>
        </w:rPr>
        <w:t>factor</w:t>
      </w:r>
      <w:r>
        <w:rPr>
          <w:rFonts w:ascii="Times New Roman" w:hAnsi="Times New Roman" w:cs="Times New Roman"/>
          <w:sz w:val="24"/>
          <w:szCs w:val="24"/>
        </w:rPr>
        <w:t xml:space="preserve"> in comparison to </w:t>
      </w:r>
      <w:r w:rsidR="00163FBD">
        <w:rPr>
          <w:rFonts w:ascii="Times New Roman" w:hAnsi="Times New Roman" w:cs="Times New Roman"/>
          <w:sz w:val="24"/>
          <w:szCs w:val="24"/>
        </w:rPr>
        <w:t>non-activation</w:t>
      </w:r>
      <w:r>
        <w:rPr>
          <w:rFonts w:ascii="Times New Roman" w:hAnsi="Times New Roman" w:cs="Times New Roman"/>
          <w:sz w:val="24"/>
          <w:szCs w:val="24"/>
        </w:rPr>
        <w:t xml:space="preserve"> of it, is expected to comprise </w:t>
      </w:r>
      <w:r w:rsidRPr="00163FBD">
        <w:rPr>
          <w:rFonts w:ascii="Times New Roman" w:hAnsi="Times New Roman" w:cs="Times New Roman"/>
          <w:i/>
          <w:iCs/>
          <w:sz w:val="24"/>
          <w:szCs w:val="24"/>
        </w:rPr>
        <w:t>less</w:t>
      </w:r>
      <w:r>
        <w:rPr>
          <w:rFonts w:ascii="Times New Roman" w:hAnsi="Times New Roman" w:cs="Times New Roman"/>
          <w:sz w:val="24"/>
          <w:szCs w:val="24"/>
        </w:rPr>
        <w:t xml:space="preserve"> values of growth rates. While, the efficiency of each </w:t>
      </w:r>
      <w:r w:rsidR="00163FBD">
        <w:rPr>
          <w:rFonts w:ascii="Times New Roman" w:hAnsi="Times New Roman" w:cs="Times New Roman"/>
          <w:sz w:val="24"/>
          <w:szCs w:val="24"/>
        </w:rPr>
        <w:t>factor</w:t>
      </w:r>
      <w:r>
        <w:rPr>
          <w:rFonts w:ascii="Times New Roman" w:hAnsi="Times New Roman" w:cs="Times New Roman"/>
          <w:sz w:val="24"/>
          <w:szCs w:val="24"/>
        </w:rPr>
        <w:t xml:space="preserve"> is perused independent from other </w:t>
      </w:r>
      <w:r w:rsidR="00163FBD">
        <w:rPr>
          <w:rFonts w:ascii="Times New Roman" w:hAnsi="Times New Roman" w:cs="Times New Roman"/>
          <w:sz w:val="24"/>
          <w:szCs w:val="24"/>
        </w:rPr>
        <w:t>factors</w:t>
      </w:r>
      <w:r>
        <w:rPr>
          <w:rFonts w:ascii="Times New Roman" w:hAnsi="Times New Roman" w:cs="Times New Roman"/>
          <w:sz w:val="24"/>
          <w:szCs w:val="24"/>
        </w:rPr>
        <w:t xml:space="preserve"> through the analysis, </w:t>
      </w:r>
      <w:r w:rsidR="00163FBD">
        <w:rPr>
          <w:rFonts w:ascii="Times New Roman" w:hAnsi="Times New Roman" w:cs="Times New Roman"/>
          <w:sz w:val="24"/>
          <w:szCs w:val="24"/>
        </w:rPr>
        <w:t>yet</w:t>
      </w:r>
      <w:r>
        <w:rPr>
          <w:rFonts w:ascii="Times New Roman" w:hAnsi="Times New Roman" w:cs="Times New Roman"/>
          <w:sz w:val="24"/>
          <w:szCs w:val="24"/>
        </w:rPr>
        <w:t>, pooling</w:t>
      </w:r>
      <w:r w:rsidR="00163FBD">
        <w:rPr>
          <w:rFonts w:ascii="Times New Roman" w:hAnsi="Times New Roman" w:cs="Times New Roman"/>
          <w:sz w:val="24"/>
          <w:szCs w:val="24"/>
        </w:rPr>
        <w:t xml:space="preserve"> the experiences</w:t>
      </w:r>
      <w:r>
        <w:rPr>
          <w:rFonts w:ascii="Times New Roman" w:hAnsi="Times New Roman" w:cs="Times New Roman"/>
          <w:sz w:val="24"/>
          <w:szCs w:val="24"/>
        </w:rPr>
        <w:t xml:space="preserve"> </w:t>
      </w:r>
      <w:r w:rsidR="00163FBD">
        <w:rPr>
          <w:rFonts w:ascii="Times New Roman" w:hAnsi="Times New Roman" w:cs="Times New Roman"/>
          <w:sz w:val="24"/>
          <w:szCs w:val="24"/>
        </w:rPr>
        <w:t>through</w:t>
      </w:r>
      <w:r>
        <w:rPr>
          <w:rFonts w:ascii="Times New Roman" w:hAnsi="Times New Roman" w:cs="Times New Roman"/>
          <w:sz w:val="24"/>
          <w:szCs w:val="24"/>
        </w:rPr>
        <w:t xml:space="preserve"> analyzing the data </w:t>
      </w:r>
      <w:r w:rsidR="00163FBD">
        <w:rPr>
          <w:rFonts w:ascii="Times New Roman" w:hAnsi="Times New Roman" w:cs="Times New Roman"/>
          <w:sz w:val="24"/>
          <w:szCs w:val="24"/>
        </w:rPr>
        <w:t>from</w:t>
      </w:r>
      <w:r>
        <w:rPr>
          <w:rFonts w:ascii="Times New Roman" w:hAnsi="Times New Roman" w:cs="Times New Roman"/>
          <w:sz w:val="24"/>
          <w:szCs w:val="24"/>
        </w:rPr>
        <w:t xml:space="preserve"> </w:t>
      </w:r>
      <w:r w:rsidR="00951A1D">
        <w:rPr>
          <w:rFonts w:ascii="Times New Roman" w:hAnsi="Times New Roman" w:cs="Times New Roman"/>
          <w:sz w:val="24"/>
          <w:szCs w:val="24"/>
        </w:rPr>
        <w:t>30</w:t>
      </w:r>
      <w:r>
        <w:rPr>
          <w:rFonts w:ascii="Times New Roman" w:hAnsi="Times New Roman" w:cs="Times New Roman"/>
          <w:sz w:val="24"/>
          <w:szCs w:val="24"/>
        </w:rPr>
        <w:t xml:space="preserve"> countries and over a </w:t>
      </w:r>
      <w:r w:rsidR="003C7BE2">
        <w:rPr>
          <w:rFonts w:ascii="Times New Roman" w:hAnsi="Times New Roman" w:cs="Times New Roman"/>
          <w:sz w:val="24"/>
          <w:szCs w:val="24"/>
        </w:rPr>
        <w:t>relative</w:t>
      </w:r>
      <w:r>
        <w:rPr>
          <w:rFonts w:ascii="Times New Roman" w:hAnsi="Times New Roman" w:cs="Times New Roman"/>
          <w:sz w:val="24"/>
          <w:szCs w:val="24"/>
        </w:rPr>
        <w:t xml:space="preserve"> extensive range of the time horizon can </w:t>
      </w:r>
      <w:r w:rsidR="00DB3980">
        <w:rPr>
          <w:rFonts w:ascii="Times New Roman" w:hAnsi="Times New Roman" w:cs="Times New Roman"/>
          <w:sz w:val="24"/>
          <w:szCs w:val="24"/>
        </w:rPr>
        <w:t>convey</w:t>
      </w:r>
      <w:r>
        <w:rPr>
          <w:rFonts w:ascii="Times New Roman" w:hAnsi="Times New Roman" w:cs="Times New Roman"/>
          <w:sz w:val="24"/>
          <w:szCs w:val="24"/>
        </w:rPr>
        <w:t xml:space="preserve"> a </w:t>
      </w:r>
      <w:r w:rsidR="00163FBD">
        <w:rPr>
          <w:rFonts w:ascii="Times New Roman" w:hAnsi="Times New Roman" w:cs="Times New Roman"/>
          <w:sz w:val="24"/>
          <w:szCs w:val="24"/>
        </w:rPr>
        <w:t xml:space="preserve">reliable </w:t>
      </w:r>
      <w:r w:rsidR="00951A1D">
        <w:rPr>
          <w:rFonts w:ascii="Times New Roman" w:hAnsi="Times New Roman" w:cs="Times New Roman"/>
          <w:sz w:val="24"/>
          <w:szCs w:val="24"/>
        </w:rPr>
        <w:t>global</w:t>
      </w:r>
      <w:r>
        <w:rPr>
          <w:rFonts w:ascii="Times New Roman" w:hAnsi="Times New Roman" w:cs="Times New Roman"/>
          <w:sz w:val="24"/>
          <w:szCs w:val="24"/>
        </w:rPr>
        <w:t xml:space="preserve"> view </w:t>
      </w:r>
      <w:r w:rsidR="00163FBD">
        <w:rPr>
          <w:rFonts w:ascii="Times New Roman" w:hAnsi="Times New Roman" w:cs="Times New Roman"/>
          <w:sz w:val="24"/>
          <w:szCs w:val="24"/>
        </w:rPr>
        <w:t>with regard to</w:t>
      </w:r>
      <w:r>
        <w:rPr>
          <w:rFonts w:ascii="Times New Roman" w:hAnsi="Times New Roman" w:cs="Times New Roman"/>
          <w:sz w:val="24"/>
          <w:szCs w:val="24"/>
        </w:rPr>
        <w:t xml:space="preserve"> the effectiveness of each explored </w:t>
      </w:r>
      <w:r w:rsidR="00163FBD">
        <w:rPr>
          <w:rFonts w:ascii="Times New Roman" w:hAnsi="Times New Roman" w:cs="Times New Roman"/>
          <w:sz w:val="24"/>
          <w:szCs w:val="24"/>
        </w:rPr>
        <w:t>explanatory variable</w:t>
      </w:r>
      <w:r>
        <w:rPr>
          <w:rFonts w:ascii="Times New Roman" w:hAnsi="Times New Roman" w:cs="Times New Roman"/>
          <w:sz w:val="24"/>
          <w:szCs w:val="24"/>
        </w:rPr>
        <w:t xml:space="preserve">.  </w:t>
      </w:r>
    </w:p>
    <w:p w:rsidR="008A6B28" w:rsidRDefault="00736C21" w:rsidP="00274BA7">
      <w:pPr>
        <w:spacing w:after="0" w:line="360" w:lineRule="auto"/>
        <w:jc w:val="both"/>
        <w:rPr>
          <w:rFonts w:ascii="Times New Roman" w:eastAsia="Calibri Light" w:hAnsi="Times New Roman" w:cs="Times New Roman"/>
          <w:sz w:val="24"/>
          <w:szCs w:val="24"/>
        </w:rPr>
      </w:pPr>
      <w:r w:rsidRPr="009872B0">
        <w:rPr>
          <w:rFonts w:ascii="Times New Roman" w:eastAsia="Calibri Light" w:hAnsi="Times New Roman" w:cs="Times New Roman"/>
          <w:sz w:val="24"/>
          <w:szCs w:val="24"/>
        </w:rPr>
        <w:t xml:space="preserve">The remainder of the paper is as follows. In section 2, the literature background is </w:t>
      </w:r>
      <w:r>
        <w:rPr>
          <w:rFonts w:ascii="Times New Roman" w:eastAsia="Calibri Light" w:hAnsi="Times New Roman" w:cs="Times New Roman"/>
          <w:sz w:val="24"/>
          <w:szCs w:val="24"/>
        </w:rPr>
        <w:t xml:space="preserve">explained. </w:t>
      </w:r>
      <w:r w:rsidR="003C7BE2">
        <w:rPr>
          <w:rFonts w:ascii="Times New Roman" w:eastAsia="Calibri Light" w:hAnsi="Times New Roman" w:cs="Times New Roman"/>
          <w:sz w:val="24"/>
          <w:szCs w:val="24"/>
        </w:rPr>
        <w:t>S</w:t>
      </w:r>
      <w:r w:rsidR="00DF2F8E">
        <w:rPr>
          <w:rFonts w:ascii="Times New Roman" w:eastAsia="Calibri Light" w:hAnsi="Times New Roman" w:cs="Times New Roman"/>
          <w:sz w:val="24"/>
          <w:szCs w:val="24"/>
        </w:rPr>
        <w:t>ection 3 comprehend</w:t>
      </w:r>
      <w:r w:rsidR="003C7BE2">
        <w:rPr>
          <w:rFonts w:ascii="Times New Roman" w:eastAsia="Calibri Light" w:hAnsi="Times New Roman" w:cs="Times New Roman"/>
          <w:sz w:val="24"/>
          <w:szCs w:val="24"/>
        </w:rPr>
        <w:t>s</w:t>
      </w:r>
      <w:r w:rsidR="00DF2F8E">
        <w:rPr>
          <w:rFonts w:ascii="Times New Roman" w:eastAsia="Calibri Light" w:hAnsi="Times New Roman" w:cs="Times New Roman"/>
          <w:sz w:val="24"/>
          <w:szCs w:val="24"/>
        </w:rPr>
        <w:t xml:space="preserve"> </w:t>
      </w:r>
      <w:r w:rsidR="009E2757" w:rsidRPr="009872B0">
        <w:rPr>
          <w:rFonts w:ascii="Times New Roman" w:eastAsia="Calibri Light" w:hAnsi="Times New Roman" w:cs="Times New Roman"/>
          <w:sz w:val="24"/>
          <w:szCs w:val="24"/>
        </w:rPr>
        <w:t xml:space="preserve">how the data </w:t>
      </w:r>
      <w:r w:rsidR="00274BA7">
        <w:rPr>
          <w:rFonts w:ascii="Times New Roman" w:eastAsia="Calibri Light" w:hAnsi="Times New Roman" w:cs="Times New Roman"/>
          <w:sz w:val="24"/>
          <w:szCs w:val="24"/>
        </w:rPr>
        <w:t>regarding</w:t>
      </w:r>
      <w:r w:rsidR="009E2757" w:rsidRPr="009872B0">
        <w:rPr>
          <w:rFonts w:ascii="Times New Roman" w:eastAsia="Calibri Light" w:hAnsi="Times New Roman" w:cs="Times New Roman"/>
          <w:sz w:val="24"/>
          <w:szCs w:val="24"/>
        </w:rPr>
        <w:t xml:space="preserve"> </w:t>
      </w:r>
      <w:r w:rsidR="009E2757">
        <w:rPr>
          <w:rFonts w:ascii="Times New Roman" w:eastAsia="Calibri Light" w:hAnsi="Times New Roman" w:cs="Times New Roman"/>
          <w:sz w:val="24"/>
          <w:szCs w:val="24"/>
        </w:rPr>
        <w:t>the set of</w:t>
      </w:r>
      <w:r w:rsidR="009E2757" w:rsidRPr="009872B0">
        <w:rPr>
          <w:rFonts w:ascii="Times New Roman" w:eastAsia="Calibri Light" w:hAnsi="Times New Roman" w:cs="Times New Roman"/>
          <w:sz w:val="24"/>
          <w:szCs w:val="24"/>
        </w:rPr>
        <w:t xml:space="preserve"> </w:t>
      </w:r>
      <w:r w:rsidR="00274BA7">
        <w:rPr>
          <w:rFonts w:ascii="Times New Roman" w:eastAsia="Calibri Light" w:hAnsi="Times New Roman" w:cs="Times New Roman"/>
          <w:sz w:val="24"/>
          <w:szCs w:val="24"/>
        </w:rPr>
        <w:t xml:space="preserve">the </w:t>
      </w:r>
      <w:r w:rsidR="009E2757" w:rsidRPr="009872B0">
        <w:rPr>
          <w:rFonts w:ascii="Times New Roman" w:eastAsia="Calibri Light" w:hAnsi="Times New Roman" w:cs="Times New Roman"/>
          <w:sz w:val="24"/>
          <w:szCs w:val="24"/>
        </w:rPr>
        <w:t xml:space="preserve">influential </w:t>
      </w:r>
      <w:r w:rsidR="00274BA7">
        <w:rPr>
          <w:rFonts w:ascii="Times New Roman" w:eastAsia="Calibri Light" w:hAnsi="Times New Roman" w:cs="Times New Roman"/>
          <w:sz w:val="24"/>
          <w:szCs w:val="24"/>
        </w:rPr>
        <w:t>factors</w:t>
      </w:r>
      <w:r w:rsidR="009E2757">
        <w:rPr>
          <w:rFonts w:ascii="Times New Roman" w:eastAsia="Calibri Light" w:hAnsi="Times New Roman" w:cs="Times New Roman"/>
          <w:sz w:val="24"/>
          <w:szCs w:val="24"/>
        </w:rPr>
        <w:t xml:space="preserve"> are extracted, cleaned and merged</w:t>
      </w:r>
      <w:r w:rsidR="009E2757" w:rsidRPr="009872B0">
        <w:rPr>
          <w:rFonts w:ascii="Times New Roman" w:eastAsia="Calibri Light" w:hAnsi="Times New Roman" w:cs="Times New Roman"/>
          <w:sz w:val="24"/>
          <w:szCs w:val="24"/>
        </w:rPr>
        <w:t xml:space="preserve"> into a unique data table, how the applied </w:t>
      </w:r>
      <w:r w:rsidR="004476DE">
        <w:rPr>
          <w:rFonts w:ascii="Times New Roman" w:eastAsia="Calibri Light" w:hAnsi="Times New Roman" w:cs="Times New Roman"/>
          <w:sz w:val="24"/>
          <w:szCs w:val="24"/>
        </w:rPr>
        <w:t>Bayesian model</w:t>
      </w:r>
      <w:r w:rsidR="009E2757" w:rsidRPr="009872B0">
        <w:rPr>
          <w:rFonts w:ascii="Times New Roman" w:eastAsia="Calibri Light" w:hAnsi="Times New Roman" w:cs="Times New Roman"/>
          <w:sz w:val="24"/>
          <w:szCs w:val="24"/>
        </w:rPr>
        <w:t xml:space="preserve"> </w:t>
      </w:r>
      <w:r w:rsidR="009E2757">
        <w:rPr>
          <w:rFonts w:ascii="Times New Roman" w:eastAsia="Calibri Light" w:hAnsi="Times New Roman" w:cs="Times New Roman"/>
          <w:sz w:val="24"/>
          <w:szCs w:val="24"/>
        </w:rPr>
        <w:t xml:space="preserve">is constructed and </w:t>
      </w:r>
      <w:r w:rsidR="004476DE">
        <w:rPr>
          <w:rFonts w:ascii="Times New Roman" w:eastAsia="Calibri Light" w:hAnsi="Times New Roman" w:cs="Times New Roman"/>
          <w:sz w:val="24"/>
          <w:szCs w:val="24"/>
        </w:rPr>
        <w:t>utilized</w:t>
      </w:r>
      <w:r w:rsidR="009E2757">
        <w:rPr>
          <w:rFonts w:ascii="Times New Roman" w:eastAsia="Calibri Light" w:hAnsi="Times New Roman" w:cs="Times New Roman"/>
          <w:sz w:val="24"/>
          <w:szCs w:val="24"/>
        </w:rPr>
        <w:t xml:space="preserve">, </w:t>
      </w:r>
      <w:r w:rsidR="009E2757" w:rsidRPr="009872B0">
        <w:rPr>
          <w:rFonts w:ascii="Times New Roman" w:eastAsia="Calibri Light" w:hAnsi="Times New Roman" w:cs="Times New Roman"/>
          <w:sz w:val="24"/>
          <w:szCs w:val="24"/>
        </w:rPr>
        <w:t xml:space="preserve">and </w:t>
      </w:r>
      <w:r w:rsidR="00274BA7">
        <w:rPr>
          <w:rFonts w:ascii="Times New Roman" w:eastAsia="Calibri Light" w:hAnsi="Times New Roman" w:cs="Times New Roman"/>
          <w:sz w:val="24"/>
          <w:szCs w:val="24"/>
        </w:rPr>
        <w:t>how</w:t>
      </w:r>
      <w:r w:rsidR="009E2757" w:rsidRPr="009872B0">
        <w:rPr>
          <w:rFonts w:ascii="Times New Roman" w:eastAsia="Calibri Light" w:hAnsi="Times New Roman" w:cs="Times New Roman"/>
          <w:sz w:val="24"/>
          <w:szCs w:val="24"/>
        </w:rPr>
        <w:t xml:space="preserve"> the inputs (explanatory variables) and the output (the dependent variable) of the model</w:t>
      </w:r>
      <w:r w:rsidR="00274BA7">
        <w:rPr>
          <w:rFonts w:ascii="Times New Roman" w:eastAsia="Calibri Light" w:hAnsi="Times New Roman" w:cs="Times New Roman"/>
          <w:sz w:val="24"/>
          <w:szCs w:val="24"/>
        </w:rPr>
        <w:t xml:space="preserve"> are defined</w:t>
      </w:r>
      <w:r w:rsidR="009E2757" w:rsidRPr="009872B0">
        <w:rPr>
          <w:rFonts w:ascii="Times New Roman" w:eastAsia="Calibri Light" w:hAnsi="Times New Roman" w:cs="Times New Roman"/>
          <w:sz w:val="24"/>
          <w:szCs w:val="24"/>
        </w:rPr>
        <w:t xml:space="preserve">. </w:t>
      </w:r>
      <w:r w:rsidR="00274BA7">
        <w:rPr>
          <w:rFonts w:ascii="Times New Roman" w:eastAsia="Calibri Light" w:hAnsi="Times New Roman" w:cs="Times New Roman"/>
          <w:sz w:val="24"/>
          <w:szCs w:val="24"/>
        </w:rPr>
        <w:t>S</w:t>
      </w:r>
      <w:r w:rsidR="009E2757" w:rsidRPr="009872B0">
        <w:rPr>
          <w:rFonts w:ascii="Times New Roman" w:eastAsia="Calibri Light" w:hAnsi="Times New Roman" w:cs="Times New Roman"/>
          <w:sz w:val="24"/>
          <w:szCs w:val="24"/>
        </w:rPr>
        <w:t>ection 4</w:t>
      </w:r>
      <w:r w:rsidR="00274BA7">
        <w:rPr>
          <w:rFonts w:ascii="Times New Roman" w:eastAsia="Calibri Light" w:hAnsi="Times New Roman" w:cs="Times New Roman"/>
          <w:sz w:val="24"/>
          <w:szCs w:val="24"/>
        </w:rPr>
        <w:t xml:space="preserve"> serves to present the</w:t>
      </w:r>
      <w:r w:rsidR="009E2757" w:rsidRPr="009872B0">
        <w:rPr>
          <w:rFonts w:ascii="Times New Roman" w:eastAsia="Calibri Light" w:hAnsi="Times New Roman" w:cs="Times New Roman"/>
          <w:sz w:val="24"/>
          <w:szCs w:val="24"/>
        </w:rPr>
        <w:t xml:space="preserve"> draw</w:t>
      </w:r>
      <w:r w:rsidR="00274BA7">
        <w:rPr>
          <w:rFonts w:ascii="Times New Roman" w:eastAsia="Calibri Light" w:hAnsi="Times New Roman" w:cs="Times New Roman"/>
          <w:sz w:val="24"/>
          <w:szCs w:val="24"/>
        </w:rPr>
        <w:t>n</w:t>
      </w:r>
      <w:r w:rsidR="009E2757" w:rsidRPr="009872B0">
        <w:rPr>
          <w:rFonts w:ascii="Times New Roman" w:eastAsia="Calibri Light" w:hAnsi="Times New Roman" w:cs="Times New Roman"/>
          <w:sz w:val="24"/>
          <w:szCs w:val="24"/>
        </w:rPr>
        <w:t xml:space="preserve"> inferences regarding the significance and </w:t>
      </w:r>
      <w:r w:rsidR="00274BA7">
        <w:rPr>
          <w:rFonts w:ascii="Times New Roman" w:eastAsia="Calibri Light" w:hAnsi="Times New Roman" w:cs="Times New Roman"/>
          <w:sz w:val="24"/>
          <w:szCs w:val="24"/>
        </w:rPr>
        <w:t>overall</w:t>
      </w:r>
      <w:r w:rsidR="00274BA7">
        <w:rPr>
          <w:rFonts w:ascii="Times New Roman" w:eastAsia="Calibri Light" w:hAnsi="Times New Roman" w:cs="Times New Roman"/>
          <w:sz w:val="24"/>
          <w:szCs w:val="24"/>
        </w:rPr>
        <w:t xml:space="preserve"> impact </w:t>
      </w:r>
      <w:r w:rsidR="009E2757" w:rsidRPr="009872B0">
        <w:rPr>
          <w:rFonts w:ascii="Times New Roman" w:eastAsia="Calibri Light" w:hAnsi="Times New Roman" w:cs="Times New Roman"/>
          <w:sz w:val="24"/>
          <w:szCs w:val="24"/>
        </w:rPr>
        <w:t xml:space="preserve">of each </w:t>
      </w:r>
      <w:r w:rsidR="009E2757" w:rsidRPr="009872B0">
        <w:rPr>
          <w:rFonts w:ascii="Times New Roman" w:hAnsi="Times New Roman" w:cs="Times New Roman"/>
          <w:sz w:val="24"/>
          <w:szCs w:val="24"/>
        </w:rPr>
        <w:t xml:space="preserve">of </w:t>
      </w:r>
      <w:r w:rsidR="009E2757">
        <w:rPr>
          <w:rFonts w:ascii="Times New Roman" w:hAnsi="Times New Roman" w:cs="Times New Roman"/>
          <w:sz w:val="24"/>
          <w:szCs w:val="24"/>
        </w:rPr>
        <w:t>pandemic influential</w:t>
      </w:r>
      <w:r w:rsidR="009E2757" w:rsidRPr="009872B0">
        <w:rPr>
          <w:rFonts w:ascii="Times New Roman" w:hAnsi="Times New Roman" w:cs="Times New Roman"/>
          <w:sz w:val="24"/>
          <w:szCs w:val="24"/>
        </w:rPr>
        <w:t xml:space="preserve"> variables</w:t>
      </w:r>
      <w:r w:rsidR="00274BA7">
        <w:rPr>
          <w:rFonts w:ascii="Times New Roman" w:hAnsi="Times New Roman" w:cs="Times New Roman"/>
          <w:sz w:val="24"/>
          <w:szCs w:val="24"/>
        </w:rPr>
        <w:t xml:space="preserve"> in each country and over all countries, respectively</w:t>
      </w:r>
      <w:r w:rsidR="009E2757" w:rsidRPr="009872B0">
        <w:rPr>
          <w:rFonts w:ascii="Times New Roman" w:eastAsia="Calibri Light" w:hAnsi="Times New Roman" w:cs="Times New Roman"/>
          <w:sz w:val="24"/>
          <w:szCs w:val="24"/>
        </w:rPr>
        <w:t>. Further discussion and concluding remarks are highlighted in section 5</w:t>
      </w:r>
      <w:r w:rsidR="00DF2F8E">
        <w:rPr>
          <w:rFonts w:ascii="Times New Roman" w:eastAsia="Calibri Light" w:hAnsi="Times New Roman" w:cs="Times New Roman"/>
          <w:sz w:val="24"/>
          <w:szCs w:val="24"/>
        </w:rPr>
        <w:t>.</w:t>
      </w:r>
    </w:p>
    <w:p w:rsidR="008A6B28" w:rsidRDefault="00DF2F8E">
      <w:pPr>
        <w:pStyle w:val="Heading2"/>
        <w:numPr>
          <w:ilvl w:val="0"/>
          <w:numId w:val="5"/>
        </w:numPr>
        <w:rPr>
          <w:rFonts w:ascii="Times New Roman" w:hAnsi="Times New Roman" w:cs="Times New Roman"/>
          <w:sz w:val="28"/>
          <w:szCs w:val="28"/>
        </w:rPr>
      </w:pPr>
      <w:r>
        <w:rPr>
          <w:rFonts w:ascii="Times New Roman" w:hAnsi="Times New Roman" w:cs="Times New Roman"/>
          <w:sz w:val="28"/>
          <w:szCs w:val="28"/>
        </w:rPr>
        <w:t>Background</w:t>
      </w:r>
    </w:p>
    <w:p w:rsidR="002F4983" w:rsidRPr="009872B0" w:rsidRDefault="00DF2F8E" w:rsidP="002F4983">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Various </w:t>
      </w:r>
      <w:proofErr w:type="spellStart"/>
      <w:r w:rsidR="002F4983" w:rsidRPr="009872B0">
        <w:rPr>
          <w:rFonts w:ascii="Times New Roman" w:hAnsi="Times New Roman" w:cs="Times New Roman"/>
          <w:sz w:val="24"/>
          <w:szCs w:val="24"/>
        </w:rPr>
        <w:t>Various</w:t>
      </w:r>
      <w:proofErr w:type="spellEnd"/>
      <w:r w:rsidR="002F4983" w:rsidRPr="009872B0">
        <w:rPr>
          <w:rFonts w:ascii="Times New Roman" w:hAnsi="Times New Roman" w:cs="Times New Roman"/>
          <w:sz w:val="24"/>
          <w:szCs w:val="24"/>
        </w:rPr>
        <w:t xml:space="preserve"> studies within the preceding literature among others Flaxman et. al. (2020), Li et. al., (2022), </w:t>
      </w:r>
      <w:proofErr w:type="spellStart"/>
      <w:r w:rsidR="002F4983" w:rsidRPr="009872B0">
        <w:rPr>
          <w:rFonts w:ascii="Times New Roman" w:hAnsi="Times New Roman" w:cs="Times New Roman"/>
          <w:sz w:val="24"/>
          <w:szCs w:val="24"/>
        </w:rPr>
        <w:t>Huy</w:t>
      </w:r>
      <w:proofErr w:type="spellEnd"/>
      <w:r w:rsidR="002F4983" w:rsidRPr="009872B0">
        <w:rPr>
          <w:rFonts w:ascii="Times New Roman" w:hAnsi="Times New Roman" w:cs="Times New Roman"/>
          <w:sz w:val="24"/>
          <w:szCs w:val="24"/>
        </w:rPr>
        <w:t xml:space="preserve"> et. al., (2022), Ge et. al., (2022), Leech et. al., (2022), </w:t>
      </w:r>
      <w:proofErr w:type="spellStart"/>
      <w:r w:rsidR="002F4983" w:rsidRPr="009872B0">
        <w:rPr>
          <w:rFonts w:ascii="Times New Roman" w:hAnsi="Times New Roman" w:cs="Times New Roman"/>
          <w:sz w:val="24"/>
          <w:szCs w:val="24"/>
        </w:rPr>
        <w:t>Bahnholzer</w:t>
      </w:r>
      <w:proofErr w:type="spellEnd"/>
      <w:r w:rsidR="002F4983" w:rsidRPr="009872B0">
        <w:rPr>
          <w:rFonts w:ascii="Times New Roman" w:hAnsi="Times New Roman" w:cs="Times New Roman"/>
          <w:sz w:val="24"/>
          <w:szCs w:val="24"/>
        </w:rPr>
        <w:t xml:space="preserve"> et. a., (2022), Liu et. al., (2022), </w:t>
      </w:r>
      <w:proofErr w:type="spellStart"/>
      <w:r w:rsidR="002F4983" w:rsidRPr="009872B0">
        <w:rPr>
          <w:rFonts w:ascii="Times New Roman" w:hAnsi="Times New Roman" w:cs="Times New Roman"/>
          <w:sz w:val="24"/>
          <w:szCs w:val="24"/>
        </w:rPr>
        <w:t>Stockes</w:t>
      </w:r>
      <w:proofErr w:type="spellEnd"/>
      <w:r w:rsidR="002F4983" w:rsidRPr="009872B0">
        <w:rPr>
          <w:rFonts w:ascii="Times New Roman" w:hAnsi="Times New Roman" w:cs="Times New Roman"/>
          <w:sz w:val="24"/>
          <w:szCs w:val="24"/>
        </w:rPr>
        <w:t xml:space="preserve"> et. al. (2022), Ge et. al., (2022), Liu et. al., (2022), Zhou et. al., (2022) and Lawson &amp; </w:t>
      </w:r>
      <w:proofErr w:type="spellStart"/>
      <w:r w:rsidR="002F4983" w:rsidRPr="009872B0">
        <w:rPr>
          <w:rFonts w:ascii="Times New Roman" w:hAnsi="Times New Roman" w:cs="Times New Roman"/>
          <w:sz w:val="24"/>
          <w:szCs w:val="24"/>
        </w:rPr>
        <w:t>Rotejanaprasert</w:t>
      </w:r>
      <w:proofErr w:type="spellEnd"/>
      <w:r w:rsidR="002F4983" w:rsidRPr="009872B0">
        <w:rPr>
          <w:rFonts w:ascii="Times New Roman" w:hAnsi="Times New Roman" w:cs="Times New Roman"/>
          <w:sz w:val="24"/>
          <w:szCs w:val="24"/>
        </w:rPr>
        <w:t xml:space="preserve"> (2023) have estimated the effectiveness of government SARS-</w:t>
      </w:r>
      <w:r w:rsidR="002F4983" w:rsidRPr="009872B0">
        <w:rPr>
          <w:rFonts w:ascii="Times New Roman" w:hAnsi="Times New Roman" w:cs="Times New Roman"/>
          <w:sz w:val="24"/>
          <w:szCs w:val="24"/>
        </w:rPr>
        <w:lastRenderedPageBreak/>
        <w:t>CoV-2 policies across multiple countries and regions by means of different methodologies and criteria. Table 1 expresses a summary of the recent studies within this context.</w:t>
      </w:r>
    </w:p>
    <w:p w:rsidR="002F4983" w:rsidRPr="009872B0" w:rsidRDefault="002F4983" w:rsidP="002F4983">
      <w:pPr>
        <w:spacing w:after="0" w:line="360" w:lineRule="auto"/>
        <w:jc w:val="both"/>
        <w:rPr>
          <w:rFonts w:ascii="Times New Roman" w:hAnsi="Times New Roman" w:cs="Times New Roman"/>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779"/>
        <w:gridCol w:w="2136"/>
        <w:gridCol w:w="1540"/>
        <w:gridCol w:w="1955"/>
        <w:gridCol w:w="1940"/>
      </w:tblGrid>
      <w:tr w:rsidR="002F4983" w:rsidRPr="009872B0" w:rsidTr="002F4983">
        <w:tc>
          <w:tcPr>
            <w:tcW w:w="1779"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Study</w:t>
            </w:r>
          </w:p>
        </w:tc>
        <w:tc>
          <w:tcPr>
            <w:tcW w:w="2136"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 xml:space="preserve">Method </w:t>
            </w:r>
          </w:p>
        </w:tc>
        <w:tc>
          <w:tcPr>
            <w:tcW w:w="15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Evaluation criterion</w:t>
            </w:r>
          </w:p>
          <w:p w:rsidR="002F4983" w:rsidRPr="009872B0" w:rsidRDefault="002F4983" w:rsidP="002F4983">
            <w:pPr>
              <w:jc w:val="both"/>
              <w:rPr>
                <w:rFonts w:ascii="Times New Roman" w:hAnsi="Times New Roman" w:cs="Times New Roman"/>
                <w:sz w:val="18"/>
                <w:szCs w:val="18"/>
              </w:rPr>
            </w:pPr>
          </w:p>
        </w:tc>
        <w:tc>
          <w:tcPr>
            <w:tcW w:w="1955"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 xml:space="preserve">Scope </w:t>
            </w:r>
          </w:p>
        </w:tc>
        <w:tc>
          <w:tcPr>
            <w:tcW w:w="19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Key results</w:t>
            </w:r>
          </w:p>
        </w:tc>
      </w:tr>
      <w:tr w:rsidR="002F4983" w:rsidRPr="009872B0" w:rsidTr="002F4983">
        <w:tc>
          <w:tcPr>
            <w:tcW w:w="1779" w:type="dxa"/>
          </w:tcPr>
          <w:p w:rsidR="002F4983" w:rsidRPr="009872B0" w:rsidRDefault="00681696" w:rsidP="002F4983">
            <w:pPr>
              <w:jc w:val="both"/>
              <w:rPr>
                <w:rFonts w:ascii="Times New Roman" w:hAnsi="Times New Roman" w:cs="Times New Roman"/>
                <w:sz w:val="18"/>
                <w:szCs w:val="18"/>
              </w:rPr>
            </w:pPr>
            <w:hyperlink r:id="rId9" w:tooltip="https://pubsonline.informs.org/doi/full/10.1287/opre.2022.2306" w:history="1">
              <w:r w:rsidR="002F4983" w:rsidRPr="009872B0">
                <w:rPr>
                  <w:rStyle w:val="Hyperlink"/>
                  <w:rFonts w:ascii="Times New Roman" w:hAnsi="Times New Roman" w:cs="Times New Roman"/>
                  <w:color w:val="auto"/>
                  <w:sz w:val="18"/>
                  <w:szCs w:val="18"/>
                  <w:u w:val="none"/>
                </w:rPr>
                <w:t>Li et. al., (2022)</w:t>
              </w:r>
            </w:hyperlink>
          </w:p>
        </w:tc>
        <w:tc>
          <w:tcPr>
            <w:tcW w:w="2136"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Epidemiological compartment model</w:t>
            </w:r>
          </w:p>
        </w:tc>
        <w:tc>
          <w:tcPr>
            <w:tcW w:w="15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Number of the new cases</w:t>
            </w:r>
          </w:p>
        </w:tc>
        <w:tc>
          <w:tcPr>
            <w:tcW w:w="1955"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Pre-vaccination era of the pandemic in large-scale epidemics areas, e.g.  the United States, United Kingdom, and Russia</w:t>
            </w:r>
          </w:p>
          <w:p w:rsidR="002F4983" w:rsidRPr="009872B0" w:rsidRDefault="002F4983" w:rsidP="002F4983">
            <w:pPr>
              <w:jc w:val="both"/>
              <w:rPr>
                <w:rFonts w:ascii="Times New Roman" w:hAnsi="Times New Roman" w:cs="Times New Roman"/>
                <w:sz w:val="18"/>
                <w:szCs w:val="18"/>
              </w:rPr>
            </w:pPr>
          </w:p>
        </w:tc>
        <w:tc>
          <w:tcPr>
            <w:tcW w:w="19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Mass gathering restrictions and school closings are associated with the largest average reductions in infection rates</w:t>
            </w:r>
          </w:p>
        </w:tc>
      </w:tr>
      <w:tr w:rsidR="002F4983" w:rsidRPr="009872B0" w:rsidTr="002F4983">
        <w:tc>
          <w:tcPr>
            <w:tcW w:w="1779" w:type="dxa"/>
          </w:tcPr>
          <w:p w:rsidR="002F4983" w:rsidRPr="009872B0" w:rsidRDefault="00681696" w:rsidP="002F4983">
            <w:pPr>
              <w:jc w:val="both"/>
              <w:rPr>
                <w:rFonts w:ascii="Times New Roman" w:hAnsi="Times New Roman" w:cs="Times New Roman"/>
                <w:sz w:val="18"/>
                <w:szCs w:val="18"/>
              </w:rPr>
            </w:pPr>
            <w:hyperlink r:id="rId10" w:tooltip="https://aricjournal.biomedcentral.com/articles/10.1186/s13756-021-01039-x" w:history="1">
              <w:r w:rsidR="002F4983" w:rsidRPr="009872B0">
                <w:rPr>
                  <w:rStyle w:val="Hyperlink"/>
                  <w:rFonts w:ascii="Times New Roman" w:hAnsi="Times New Roman" w:cs="Times New Roman"/>
                  <w:color w:val="auto"/>
                  <w:sz w:val="18"/>
                  <w:szCs w:val="18"/>
                  <w:u w:val="none"/>
                </w:rPr>
                <w:t>Liu Y et. al., (2022)</w:t>
              </w:r>
            </w:hyperlink>
          </w:p>
        </w:tc>
        <w:tc>
          <w:tcPr>
            <w:tcW w:w="2136"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Lasso regression</w:t>
            </w:r>
          </w:p>
        </w:tc>
        <w:tc>
          <w:tcPr>
            <w:tcW w:w="15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Reproduction numbers</w:t>
            </w:r>
          </w:p>
        </w:tc>
        <w:tc>
          <w:tcPr>
            <w:tcW w:w="1955"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European countries within the year 2020</w:t>
            </w:r>
          </w:p>
        </w:tc>
        <w:tc>
          <w:tcPr>
            <w:tcW w:w="19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The mobility index generated by personal behavior in prevention and control may be more important than wearing a mask</w:t>
            </w:r>
          </w:p>
          <w:p w:rsidR="002F4983" w:rsidRPr="009872B0" w:rsidRDefault="002F4983" w:rsidP="002F4983">
            <w:pPr>
              <w:jc w:val="both"/>
              <w:rPr>
                <w:rFonts w:ascii="Times New Roman" w:hAnsi="Times New Roman" w:cs="Times New Roman"/>
                <w:sz w:val="18"/>
                <w:szCs w:val="18"/>
              </w:rPr>
            </w:pPr>
          </w:p>
        </w:tc>
      </w:tr>
      <w:tr w:rsidR="002F4983" w:rsidRPr="009872B0" w:rsidTr="002F4983">
        <w:tc>
          <w:tcPr>
            <w:tcW w:w="1779" w:type="dxa"/>
          </w:tcPr>
          <w:p w:rsidR="002F4983" w:rsidRPr="009872B0" w:rsidRDefault="00681696" w:rsidP="002F4983">
            <w:pPr>
              <w:jc w:val="both"/>
              <w:rPr>
                <w:rFonts w:ascii="Times New Roman" w:hAnsi="Times New Roman" w:cs="Times New Roman"/>
                <w:sz w:val="18"/>
                <w:szCs w:val="18"/>
              </w:rPr>
            </w:pPr>
            <w:hyperlink r:id="rId11" w:tooltip="https://bmcpublichealth.biomedcentral.com/articles/10.1186/s12889-022-13546-6" w:history="1">
              <w:proofErr w:type="spellStart"/>
              <w:r w:rsidR="002F4983" w:rsidRPr="009872B0">
                <w:rPr>
                  <w:rStyle w:val="Hyperlink"/>
                  <w:rFonts w:ascii="Times New Roman" w:hAnsi="Times New Roman" w:cs="Times New Roman"/>
                  <w:color w:val="auto"/>
                  <w:sz w:val="18"/>
                  <w:szCs w:val="18"/>
                  <w:u w:val="none"/>
                </w:rPr>
                <w:t>Stockes</w:t>
              </w:r>
              <w:proofErr w:type="spellEnd"/>
              <w:r w:rsidR="002F4983" w:rsidRPr="009872B0">
                <w:rPr>
                  <w:rStyle w:val="Hyperlink"/>
                  <w:rFonts w:ascii="Times New Roman" w:hAnsi="Times New Roman" w:cs="Times New Roman"/>
                  <w:color w:val="auto"/>
                  <w:sz w:val="18"/>
                  <w:szCs w:val="18"/>
                  <w:u w:val="none"/>
                </w:rPr>
                <w:t xml:space="preserve"> et. al. (2022)</w:t>
              </w:r>
            </w:hyperlink>
          </w:p>
        </w:tc>
        <w:tc>
          <w:tcPr>
            <w:tcW w:w="2136"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Multivariate regression</w:t>
            </w:r>
          </w:p>
        </w:tc>
        <w:tc>
          <w:tcPr>
            <w:tcW w:w="15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 xml:space="preserve">Mortality rate </w:t>
            </w:r>
          </w:p>
        </w:tc>
        <w:tc>
          <w:tcPr>
            <w:tcW w:w="1955"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130 countries up to June 2020</w:t>
            </w:r>
          </w:p>
        </w:tc>
        <w:tc>
          <w:tcPr>
            <w:tcW w:w="19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Earlier and stricter school and workplace closures are associated with lower mortality rates</w:t>
            </w:r>
          </w:p>
        </w:tc>
      </w:tr>
      <w:tr w:rsidR="002F4983" w:rsidRPr="009872B0" w:rsidTr="002F4983">
        <w:tc>
          <w:tcPr>
            <w:tcW w:w="1779" w:type="dxa"/>
          </w:tcPr>
          <w:p w:rsidR="002F4983" w:rsidRPr="009872B0" w:rsidRDefault="00681696" w:rsidP="002F4983">
            <w:pPr>
              <w:jc w:val="both"/>
              <w:rPr>
                <w:rFonts w:ascii="Times New Roman" w:hAnsi="Times New Roman" w:cs="Times New Roman"/>
                <w:sz w:val="18"/>
                <w:szCs w:val="18"/>
              </w:rPr>
            </w:pPr>
            <w:hyperlink r:id="rId12" w:tooltip="https://www.mdpi.com/1660-4601/19/3/1139" w:history="1">
              <w:proofErr w:type="spellStart"/>
              <w:r w:rsidR="002F4983" w:rsidRPr="009872B0">
                <w:rPr>
                  <w:rStyle w:val="Hyperlink"/>
                  <w:rFonts w:ascii="Times New Roman" w:hAnsi="Times New Roman" w:cs="Times New Roman"/>
                  <w:color w:val="auto"/>
                  <w:sz w:val="18"/>
                  <w:szCs w:val="18"/>
                  <w:u w:val="none"/>
                </w:rPr>
                <w:t>Huy</w:t>
              </w:r>
              <w:proofErr w:type="spellEnd"/>
              <w:r w:rsidR="002F4983" w:rsidRPr="009872B0">
                <w:rPr>
                  <w:rStyle w:val="Hyperlink"/>
                  <w:rFonts w:ascii="Times New Roman" w:hAnsi="Times New Roman" w:cs="Times New Roman"/>
                  <w:color w:val="auto"/>
                  <w:sz w:val="18"/>
                  <w:szCs w:val="18"/>
                  <w:u w:val="none"/>
                </w:rPr>
                <w:t xml:space="preserve"> et. al., (2022)</w:t>
              </w:r>
            </w:hyperlink>
          </w:p>
        </w:tc>
        <w:tc>
          <w:tcPr>
            <w:tcW w:w="2136"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Longitudinal correlation analysis</w:t>
            </w:r>
          </w:p>
        </w:tc>
        <w:tc>
          <w:tcPr>
            <w:tcW w:w="15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Growth rate of infection</w:t>
            </w:r>
          </w:p>
        </w:tc>
        <w:tc>
          <w:tcPr>
            <w:tcW w:w="1955"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30 Asian countries over the 20 weeks of the pre- and post-vaccination period</w:t>
            </w:r>
          </w:p>
        </w:tc>
        <w:tc>
          <w:tcPr>
            <w:tcW w:w="19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The facial covering policy in the pre-vaccination period and restrictions on gatherings and public transport closure in the post-vaccination period, are the most effective intervention</w:t>
            </w:r>
          </w:p>
        </w:tc>
      </w:tr>
      <w:tr w:rsidR="002F4983" w:rsidRPr="009872B0" w:rsidTr="002F4983">
        <w:tc>
          <w:tcPr>
            <w:tcW w:w="1779" w:type="dxa"/>
          </w:tcPr>
          <w:p w:rsidR="002F4983" w:rsidRPr="009872B0" w:rsidRDefault="00681696" w:rsidP="002F4983">
            <w:pPr>
              <w:jc w:val="both"/>
              <w:rPr>
                <w:rFonts w:ascii="Times New Roman" w:hAnsi="Times New Roman" w:cs="Times New Roman"/>
                <w:sz w:val="18"/>
                <w:szCs w:val="18"/>
              </w:rPr>
            </w:pPr>
            <w:hyperlink r:id="rId13" w:tooltip="https://www.nature.com/articles/s41467-022-30897-1" w:history="1">
              <w:r w:rsidR="002F4983" w:rsidRPr="009872B0">
                <w:rPr>
                  <w:rStyle w:val="Hyperlink"/>
                  <w:rFonts w:ascii="Times New Roman" w:hAnsi="Times New Roman" w:cs="Times New Roman"/>
                  <w:color w:val="auto"/>
                  <w:sz w:val="18"/>
                  <w:szCs w:val="18"/>
                  <w:u w:val="none"/>
                </w:rPr>
                <w:t>Ge et. al., (2022</w:t>
              </w:r>
            </w:hyperlink>
            <w:r w:rsidR="002F4983" w:rsidRPr="009872B0">
              <w:rPr>
                <w:rStyle w:val="Hyperlink"/>
                <w:rFonts w:ascii="Times New Roman" w:hAnsi="Times New Roman" w:cs="Times New Roman"/>
                <w:color w:val="auto"/>
                <w:sz w:val="18"/>
                <w:szCs w:val="18"/>
                <w:u w:val="none"/>
              </w:rPr>
              <w:t>)</w:t>
            </w:r>
          </w:p>
        </w:tc>
        <w:tc>
          <w:tcPr>
            <w:tcW w:w="2136"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Bayesian regression</w:t>
            </w:r>
          </w:p>
        </w:tc>
        <w:tc>
          <w:tcPr>
            <w:tcW w:w="15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Reproduction numbers</w:t>
            </w:r>
          </w:p>
        </w:tc>
        <w:tc>
          <w:tcPr>
            <w:tcW w:w="1955"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European countries from August 2020 to October 2021</w:t>
            </w:r>
          </w:p>
        </w:tc>
        <w:tc>
          <w:tcPr>
            <w:tcW w:w="19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NPIs might remain an important complementary to vaccination in reducing COVID-19 transmission before herd immunity has been reached</w:t>
            </w:r>
          </w:p>
        </w:tc>
      </w:tr>
      <w:tr w:rsidR="002F4983" w:rsidRPr="009872B0" w:rsidTr="002F4983">
        <w:tc>
          <w:tcPr>
            <w:tcW w:w="1779" w:type="dxa"/>
          </w:tcPr>
          <w:p w:rsidR="002F4983" w:rsidRPr="009872B0" w:rsidRDefault="00681696" w:rsidP="002F4983">
            <w:pPr>
              <w:jc w:val="both"/>
              <w:rPr>
                <w:rFonts w:ascii="Times New Roman" w:hAnsi="Times New Roman" w:cs="Times New Roman"/>
                <w:sz w:val="18"/>
                <w:szCs w:val="18"/>
              </w:rPr>
            </w:pPr>
            <w:hyperlink r:id="rId14" w:tooltip="https://www.pnas.org/doi/10.1073/pnas.2119266119" w:history="1">
              <w:r w:rsidR="002F4983" w:rsidRPr="009872B0">
                <w:rPr>
                  <w:rStyle w:val="Hyperlink"/>
                  <w:rFonts w:ascii="Times New Roman" w:hAnsi="Times New Roman" w:cs="Times New Roman"/>
                  <w:color w:val="auto"/>
                  <w:sz w:val="18"/>
                  <w:szCs w:val="18"/>
                  <w:u w:val="none"/>
                </w:rPr>
                <w:t>Leech et. al., (2022)</w:t>
              </w:r>
            </w:hyperlink>
          </w:p>
        </w:tc>
        <w:tc>
          <w:tcPr>
            <w:tcW w:w="2136"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Bayesian regression</w:t>
            </w:r>
          </w:p>
        </w:tc>
        <w:tc>
          <w:tcPr>
            <w:tcW w:w="15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Reproduction numbers</w:t>
            </w:r>
          </w:p>
        </w:tc>
        <w:tc>
          <w:tcPr>
            <w:tcW w:w="1955"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56 countries between May and September 2020</w:t>
            </w:r>
          </w:p>
        </w:tc>
        <w:tc>
          <w:tcPr>
            <w:tcW w:w="19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Mask wearing in community settings reduces SARS-CoV-2 transmission</w:t>
            </w:r>
          </w:p>
        </w:tc>
      </w:tr>
      <w:tr w:rsidR="002F4983" w:rsidRPr="009872B0" w:rsidTr="002F4983">
        <w:tc>
          <w:tcPr>
            <w:tcW w:w="1779" w:type="dxa"/>
          </w:tcPr>
          <w:p w:rsidR="002F4983" w:rsidRPr="009872B0" w:rsidRDefault="00681696" w:rsidP="002F4983">
            <w:pPr>
              <w:jc w:val="both"/>
              <w:rPr>
                <w:rFonts w:ascii="Times New Roman" w:hAnsi="Times New Roman" w:cs="Times New Roman"/>
                <w:sz w:val="18"/>
                <w:szCs w:val="18"/>
              </w:rPr>
            </w:pPr>
            <w:hyperlink r:id="rId15" w:tooltip="https://www.ncbi.nlm.nih.gov/pmc/articles/PMC8666325/" w:history="1">
              <w:r w:rsidR="002F4983" w:rsidRPr="009872B0">
                <w:rPr>
                  <w:rStyle w:val="Hyperlink"/>
                  <w:rFonts w:ascii="Times New Roman" w:hAnsi="Times New Roman" w:cs="Times New Roman"/>
                  <w:color w:val="auto"/>
                  <w:sz w:val="18"/>
                  <w:szCs w:val="18"/>
                  <w:u w:val="none"/>
                </w:rPr>
                <w:t>Ge et. al., (2022)</w:t>
              </w:r>
            </w:hyperlink>
          </w:p>
        </w:tc>
        <w:tc>
          <w:tcPr>
            <w:tcW w:w="2136"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Bayesian regression</w:t>
            </w:r>
          </w:p>
        </w:tc>
        <w:tc>
          <w:tcPr>
            <w:tcW w:w="15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Growth rate of infection</w:t>
            </w:r>
          </w:p>
        </w:tc>
        <w:tc>
          <w:tcPr>
            <w:tcW w:w="1955"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133 countries within 2020</w:t>
            </w:r>
          </w:p>
        </w:tc>
        <w:tc>
          <w:tcPr>
            <w:tcW w:w="19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Gathering restrictions and facial coverings played significant roles in epidemic mitigation before the vaccine rollout</w:t>
            </w:r>
          </w:p>
        </w:tc>
      </w:tr>
      <w:tr w:rsidR="002F4983" w:rsidRPr="009872B0" w:rsidTr="002F4983">
        <w:tc>
          <w:tcPr>
            <w:tcW w:w="1779" w:type="dxa"/>
          </w:tcPr>
          <w:p w:rsidR="002F4983" w:rsidRPr="009872B0" w:rsidRDefault="002F4983" w:rsidP="002F4983">
            <w:pPr>
              <w:jc w:val="both"/>
              <w:rPr>
                <w:rFonts w:ascii="Times New Roman" w:eastAsia="Times New Roman" w:hAnsi="Times New Roman" w:cs="Times New Roman"/>
                <w:sz w:val="18"/>
                <w:szCs w:val="18"/>
              </w:rPr>
            </w:pPr>
            <w:r w:rsidRPr="009872B0">
              <w:rPr>
                <w:rFonts w:ascii="Times New Roman" w:hAnsi="Times New Roman" w:cs="Times New Roman"/>
                <w:sz w:val="18"/>
                <w:szCs w:val="18"/>
              </w:rPr>
              <w:t xml:space="preserve">Liu D et. al.,(2022) </w:t>
            </w:r>
          </w:p>
        </w:tc>
        <w:tc>
          <w:tcPr>
            <w:tcW w:w="2136"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Deep neural network</w:t>
            </w:r>
          </w:p>
        </w:tc>
        <w:tc>
          <w:tcPr>
            <w:tcW w:w="15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Number of the new cases</w:t>
            </w:r>
          </w:p>
        </w:tc>
        <w:tc>
          <w:tcPr>
            <w:tcW w:w="1955"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All counties of the United States from January 1 to July 10, 2020</w:t>
            </w:r>
          </w:p>
        </w:tc>
        <w:tc>
          <w:tcPr>
            <w:tcW w:w="19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Social distancing is essential to control the spread of COVID-19, as well as the duration and degree of implementing social distancing interventions</w:t>
            </w:r>
          </w:p>
        </w:tc>
      </w:tr>
      <w:tr w:rsidR="002F4983" w:rsidRPr="009872B0" w:rsidTr="002F4983">
        <w:tc>
          <w:tcPr>
            <w:tcW w:w="1779" w:type="dxa"/>
          </w:tcPr>
          <w:p w:rsidR="002F4983" w:rsidRPr="009872B0" w:rsidRDefault="002F4983" w:rsidP="002F4983">
            <w:pPr>
              <w:jc w:val="both"/>
              <w:rPr>
                <w:rFonts w:ascii="Times New Roman" w:eastAsia="Times New Roman" w:hAnsi="Times New Roman" w:cs="Times New Roman"/>
                <w:sz w:val="18"/>
                <w:szCs w:val="18"/>
              </w:rPr>
            </w:pPr>
            <w:r w:rsidRPr="009872B0">
              <w:rPr>
                <w:rFonts w:ascii="Times New Roman" w:hAnsi="Times New Roman" w:cs="Times New Roman"/>
                <w:sz w:val="18"/>
                <w:szCs w:val="18"/>
              </w:rPr>
              <w:lastRenderedPageBreak/>
              <w:t>Zhou et. al.,(2022)</w:t>
            </w:r>
          </w:p>
        </w:tc>
        <w:tc>
          <w:tcPr>
            <w:tcW w:w="2136"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Deep neural network</w:t>
            </w:r>
          </w:p>
        </w:tc>
        <w:tc>
          <w:tcPr>
            <w:tcW w:w="15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Number of the new cases</w:t>
            </w:r>
          </w:p>
        </w:tc>
        <w:tc>
          <w:tcPr>
            <w:tcW w:w="1955"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3 states of the United States from April 1st, 2020 to March 31st, 2021</w:t>
            </w:r>
          </w:p>
        </w:tc>
        <w:tc>
          <w:tcPr>
            <w:tcW w:w="1940" w:type="dxa"/>
          </w:tcPr>
          <w:p w:rsidR="002F4983" w:rsidRPr="009872B0" w:rsidRDefault="002F4983" w:rsidP="002F4983">
            <w:pPr>
              <w:jc w:val="both"/>
              <w:rPr>
                <w:rFonts w:ascii="Times New Roman" w:hAnsi="Times New Roman" w:cs="Times New Roman"/>
                <w:sz w:val="18"/>
                <w:szCs w:val="18"/>
              </w:rPr>
            </w:pPr>
            <w:r w:rsidRPr="009872B0">
              <w:rPr>
                <w:rFonts w:ascii="Times New Roman" w:hAnsi="Times New Roman" w:cs="Times New Roman"/>
                <w:sz w:val="18"/>
                <w:szCs w:val="18"/>
              </w:rPr>
              <w:t>School closing, canceling the public events and closing public transport are the most successful containment and closure policies</w:t>
            </w:r>
          </w:p>
        </w:tc>
      </w:tr>
    </w:tbl>
    <w:p w:rsidR="002F4983" w:rsidRPr="009872B0" w:rsidRDefault="002F4983" w:rsidP="002F4983">
      <w:pPr>
        <w:spacing w:after="0" w:line="360" w:lineRule="auto"/>
        <w:jc w:val="both"/>
        <w:rPr>
          <w:rFonts w:ascii="Times New Roman" w:hAnsi="Times New Roman" w:cs="Times New Roman"/>
          <w:sz w:val="24"/>
          <w:szCs w:val="24"/>
        </w:rPr>
      </w:pPr>
    </w:p>
    <w:p w:rsidR="002F4983" w:rsidRPr="009872B0" w:rsidRDefault="002F4983" w:rsidP="002F4983">
      <w:pPr>
        <w:spacing w:after="0" w:line="360" w:lineRule="auto"/>
        <w:jc w:val="both"/>
        <w:rPr>
          <w:rFonts w:ascii="Times New Roman" w:hAnsi="Times New Roman" w:cs="Times New Roman"/>
          <w:sz w:val="20"/>
          <w:szCs w:val="20"/>
        </w:rPr>
      </w:pPr>
      <w:r w:rsidRPr="009872B0">
        <w:rPr>
          <w:rFonts w:ascii="Times New Roman" w:hAnsi="Times New Roman" w:cs="Times New Roman"/>
          <w:sz w:val="20"/>
          <w:szCs w:val="20"/>
        </w:rPr>
        <w:t xml:space="preserve">Table </w:t>
      </w:r>
      <w:r w:rsidRPr="009872B0">
        <w:rPr>
          <w:rFonts w:ascii="Times New Roman" w:hAnsi="Times New Roman" w:cs="Times New Roman"/>
          <w:sz w:val="20"/>
          <w:szCs w:val="20"/>
        </w:rPr>
        <w:fldChar w:fldCharType="begin"/>
      </w:r>
      <w:r w:rsidRPr="009872B0">
        <w:rPr>
          <w:rFonts w:ascii="Times New Roman" w:hAnsi="Times New Roman" w:cs="Times New Roman"/>
          <w:sz w:val="20"/>
          <w:szCs w:val="20"/>
        </w:rPr>
        <w:instrText xml:space="preserve"> SEQ Table \* ARABIC </w:instrText>
      </w:r>
      <w:r w:rsidRPr="009872B0">
        <w:rPr>
          <w:rFonts w:ascii="Times New Roman" w:hAnsi="Times New Roman" w:cs="Times New Roman"/>
          <w:sz w:val="20"/>
          <w:szCs w:val="20"/>
        </w:rPr>
        <w:fldChar w:fldCharType="separate"/>
      </w:r>
      <w:r w:rsidRPr="009872B0">
        <w:rPr>
          <w:rFonts w:ascii="Times New Roman" w:hAnsi="Times New Roman" w:cs="Times New Roman"/>
          <w:sz w:val="20"/>
          <w:szCs w:val="20"/>
        </w:rPr>
        <w:t>1</w:t>
      </w:r>
      <w:r w:rsidRPr="009872B0">
        <w:rPr>
          <w:rFonts w:ascii="Times New Roman" w:hAnsi="Times New Roman" w:cs="Times New Roman"/>
          <w:sz w:val="20"/>
          <w:szCs w:val="20"/>
        </w:rPr>
        <w:fldChar w:fldCharType="end"/>
      </w:r>
      <w:r w:rsidRPr="009872B0">
        <w:rPr>
          <w:rFonts w:ascii="Times New Roman" w:hAnsi="Times New Roman" w:cs="Times New Roman"/>
          <w:sz w:val="20"/>
          <w:szCs w:val="20"/>
        </w:rPr>
        <w:t>: Key features from the preceding studies of vaccination and NPIs’ effectiveness</w:t>
      </w:r>
    </w:p>
    <w:p w:rsidR="002F4983" w:rsidRPr="009872B0" w:rsidRDefault="002F4983" w:rsidP="002F4983">
      <w:pPr>
        <w:spacing w:line="360" w:lineRule="auto"/>
        <w:jc w:val="both"/>
        <w:rPr>
          <w:rFonts w:ascii="Times New Roman" w:hAnsi="Times New Roman" w:cs="Times New Roman"/>
          <w:sz w:val="24"/>
          <w:szCs w:val="24"/>
        </w:rPr>
      </w:pPr>
      <w:r w:rsidRPr="009872B0">
        <w:rPr>
          <w:rFonts w:ascii="Times New Roman" w:hAnsi="Times New Roman" w:cs="Times New Roman"/>
          <w:sz w:val="24"/>
          <w:szCs w:val="24"/>
        </w:rPr>
        <w:t xml:space="preserve">Li et. al., (2022) introduce a compartmental epidemiological model which predicts the detected cases and deaths in large scale epidemic areas. The model is then used to quantify the impact of government interventions on the pandemic’s spread. Liu et. al., (2022) use a lasso regression model to compute reproduction numbers associated with government control and prevention policies. </w:t>
      </w:r>
      <w:proofErr w:type="spellStart"/>
      <w:r w:rsidRPr="009872B0">
        <w:rPr>
          <w:rFonts w:ascii="Times New Roman" w:hAnsi="Times New Roman" w:cs="Times New Roman"/>
          <w:sz w:val="24"/>
          <w:szCs w:val="24"/>
        </w:rPr>
        <w:t>Stockes</w:t>
      </w:r>
      <w:proofErr w:type="spellEnd"/>
      <w:r w:rsidRPr="009872B0">
        <w:rPr>
          <w:rFonts w:ascii="Times New Roman" w:hAnsi="Times New Roman" w:cs="Times New Roman"/>
          <w:sz w:val="24"/>
          <w:szCs w:val="24"/>
        </w:rPr>
        <w:t xml:space="preserve"> et. al. (2022) use a multivariate regression model to understand the relative impact of NPIs on mortality rates. </w:t>
      </w:r>
      <w:proofErr w:type="spellStart"/>
      <w:r w:rsidRPr="009872B0">
        <w:rPr>
          <w:rFonts w:ascii="Times New Roman" w:hAnsi="Times New Roman" w:cs="Times New Roman"/>
          <w:sz w:val="24"/>
          <w:szCs w:val="24"/>
        </w:rPr>
        <w:t>Huy</w:t>
      </w:r>
      <w:proofErr w:type="spellEnd"/>
      <w:r w:rsidRPr="009872B0">
        <w:rPr>
          <w:rFonts w:ascii="Times New Roman" w:hAnsi="Times New Roman" w:cs="Times New Roman"/>
          <w:sz w:val="24"/>
          <w:szCs w:val="24"/>
        </w:rPr>
        <w:t xml:space="preserve"> et. al., (2022) apply Longitudinal correlation analysis to examine the effectiveness of NPIs on decreasing the epidemic growth of SARS-COV-2 between, before and after the vaccine roll-outs period. Ge et. al., 2022, Leech et. al., (2022), </w:t>
      </w:r>
      <w:proofErr w:type="spellStart"/>
      <w:r w:rsidRPr="009872B0">
        <w:rPr>
          <w:rFonts w:ascii="Times New Roman" w:hAnsi="Times New Roman" w:cs="Times New Roman"/>
          <w:sz w:val="24"/>
          <w:szCs w:val="24"/>
        </w:rPr>
        <w:t>Bahnholzer</w:t>
      </w:r>
      <w:proofErr w:type="spellEnd"/>
      <w:r w:rsidRPr="009872B0">
        <w:rPr>
          <w:rFonts w:ascii="Times New Roman" w:hAnsi="Times New Roman" w:cs="Times New Roman"/>
          <w:sz w:val="24"/>
          <w:szCs w:val="24"/>
        </w:rPr>
        <w:t xml:space="preserve"> et. a., (2022), Ge et. al., (2022) and Lawson &amp; </w:t>
      </w:r>
      <w:proofErr w:type="spellStart"/>
      <w:r w:rsidRPr="009872B0">
        <w:rPr>
          <w:rFonts w:ascii="Times New Roman" w:hAnsi="Times New Roman" w:cs="Times New Roman"/>
          <w:sz w:val="24"/>
          <w:szCs w:val="24"/>
        </w:rPr>
        <w:t>Rotejanaprasert</w:t>
      </w:r>
      <w:proofErr w:type="spellEnd"/>
      <w:r w:rsidRPr="009872B0">
        <w:rPr>
          <w:rFonts w:ascii="Times New Roman" w:hAnsi="Times New Roman" w:cs="Times New Roman"/>
          <w:sz w:val="24"/>
          <w:szCs w:val="24"/>
        </w:rPr>
        <w:t xml:space="preserve"> (2023) utilize Bayesian inference models with different criteria applied in various geographical areas. Liu et. al., (2022) and Zhou et. al., (2022) are among the rare studies, which apply deep learning methods to analyze the efficacy of government SARS-COV-2 intervention policies. The majority of deep learning approaches within the recent pandemic context are comprising time series analysis focusing on forecasting the spread of the virus (e.g. case prediction) </w:t>
      </w:r>
      <w:r w:rsidRPr="009872B0">
        <w:rPr>
          <w:rFonts w:ascii="Times New Roman" w:hAnsi="Times New Roman" w:cs="Times New Roman"/>
          <w:i/>
          <w:iCs/>
          <w:sz w:val="24"/>
          <w:szCs w:val="24"/>
        </w:rPr>
        <w:t>n</w:t>
      </w:r>
      <w:r w:rsidRPr="009872B0">
        <w:rPr>
          <w:rFonts w:ascii="Times New Roman" w:hAnsi="Times New Roman" w:cs="Times New Roman"/>
          <w:sz w:val="24"/>
          <w:szCs w:val="24"/>
        </w:rPr>
        <w:t xml:space="preserve"> days ahead of the time based on the previous times statistic reports as input (see e.g. Xu et al., 2022; </w:t>
      </w:r>
      <w:proofErr w:type="spellStart"/>
      <w:r w:rsidRPr="009872B0">
        <w:rPr>
          <w:rFonts w:ascii="Times New Roman" w:hAnsi="Times New Roman" w:cs="Times New Roman"/>
          <w:sz w:val="24"/>
          <w:szCs w:val="24"/>
        </w:rPr>
        <w:t>Verma</w:t>
      </w:r>
      <w:proofErr w:type="spellEnd"/>
      <w:r w:rsidRPr="009872B0">
        <w:rPr>
          <w:rFonts w:ascii="Times New Roman" w:hAnsi="Times New Roman" w:cs="Times New Roman"/>
          <w:sz w:val="24"/>
          <w:szCs w:val="24"/>
        </w:rPr>
        <w:t xml:space="preserve"> et al., 2022; </w:t>
      </w:r>
      <w:proofErr w:type="spellStart"/>
      <w:r w:rsidRPr="009872B0">
        <w:rPr>
          <w:rFonts w:ascii="Times New Roman" w:hAnsi="Times New Roman" w:cs="Times New Roman"/>
          <w:sz w:val="24"/>
          <w:szCs w:val="24"/>
        </w:rPr>
        <w:t>Alassafi</w:t>
      </w:r>
      <w:proofErr w:type="spellEnd"/>
      <w:r w:rsidRPr="009872B0">
        <w:rPr>
          <w:rFonts w:ascii="Times New Roman" w:hAnsi="Times New Roman" w:cs="Times New Roman"/>
          <w:sz w:val="24"/>
          <w:szCs w:val="24"/>
        </w:rPr>
        <w:t xml:space="preserve"> et al., 2022; Sinha et al., 2022).</w:t>
      </w:r>
    </w:p>
    <w:p w:rsidR="002F4983" w:rsidRPr="009872B0" w:rsidRDefault="002F4983" w:rsidP="002F4983">
      <w:pPr>
        <w:spacing w:line="360" w:lineRule="auto"/>
        <w:jc w:val="both"/>
        <w:rPr>
          <w:rFonts w:ascii="Times New Roman" w:hAnsi="Times New Roman" w:cs="Times New Roman"/>
          <w:sz w:val="24"/>
          <w:szCs w:val="24"/>
        </w:rPr>
      </w:pPr>
      <w:r w:rsidRPr="009872B0">
        <w:rPr>
          <w:rFonts w:ascii="Times New Roman" w:hAnsi="Times New Roman" w:cs="Times New Roman"/>
          <w:sz w:val="24"/>
          <w:szCs w:val="24"/>
        </w:rPr>
        <w:t xml:space="preserve">Not all the above mentioned studies focus on research regarding the effect of the </w:t>
      </w:r>
      <w:r w:rsidRPr="009872B0">
        <w:rPr>
          <w:rFonts w:ascii="Times New Roman" w:hAnsi="Times New Roman" w:cs="Times New Roman"/>
          <w:i/>
          <w:iCs/>
          <w:sz w:val="24"/>
          <w:szCs w:val="24"/>
        </w:rPr>
        <w:t>individual</w:t>
      </w:r>
      <w:r w:rsidRPr="009872B0">
        <w:rPr>
          <w:rFonts w:ascii="Times New Roman" w:hAnsi="Times New Roman" w:cs="Times New Roman"/>
          <w:sz w:val="24"/>
          <w:szCs w:val="24"/>
        </w:rPr>
        <w:t xml:space="preserve"> sets of government policies. </w:t>
      </w:r>
      <w:proofErr w:type="spellStart"/>
      <w:r w:rsidRPr="009872B0">
        <w:rPr>
          <w:rFonts w:ascii="Times New Roman" w:hAnsi="Times New Roman" w:cs="Times New Roman"/>
          <w:sz w:val="24"/>
          <w:szCs w:val="24"/>
        </w:rPr>
        <w:t>Bahnholzer</w:t>
      </w:r>
      <w:proofErr w:type="spellEnd"/>
      <w:r w:rsidRPr="009872B0">
        <w:rPr>
          <w:rFonts w:ascii="Times New Roman" w:hAnsi="Times New Roman" w:cs="Times New Roman"/>
          <w:sz w:val="24"/>
          <w:szCs w:val="24"/>
        </w:rPr>
        <w:t xml:space="preserve"> et. al., (2022) estimate country-specific differences of the effectiveness of overall NPIs.  Lawson &amp; </w:t>
      </w:r>
      <w:proofErr w:type="spellStart"/>
      <w:r w:rsidRPr="009872B0">
        <w:rPr>
          <w:rFonts w:ascii="Times New Roman" w:hAnsi="Times New Roman" w:cs="Times New Roman"/>
          <w:sz w:val="24"/>
          <w:szCs w:val="24"/>
        </w:rPr>
        <w:t>Rotejanaprasert</w:t>
      </w:r>
      <w:proofErr w:type="spellEnd"/>
      <w:r w:rsidRPr="009872B0">
        <w:rPr>
          <w:rFonts w:ascii="Times New Roman" w:hAnsi="Times New Roman" w:cs="Times New Roman"/>
          <w:sz w:val="24"/>
          <w:szCs w:val="24"/>
        </w:rPr>
        <w:t xml:space="preserve"> (2023) analyze the spread of SARS-COV-2 to assess the possible counter-factual realization of disease spread in an incidence that would have been evidenced with no NPI. Ge et. al., 2022 analyze the effect of NPIs’ </w:t>
      </w:r>
      <w:r w:rsidRPr="009872B0">
        <w:rPr>
          <w:rFonts w:ascii="Times New Roman" w:hAnsi="Times New Roman" w:cs="Times New Roman"/>
          <w:i/>
          <w:iCs/>
          <w:sz w:val="24"/>
          <w:szCs w:val="24"/>
        </w:rPr>
        <w:t>stringency</w:t>
      </w:r>
      <w:r w:rsidRPr="009872B0">
        <w:rPr>
          <w:rFonts w:ascii="Times New Roman" w:hAnsi="Times New Roman" w:cs="Times New Roman"/>
          <w:sz w:val="24"/>
          <w:szCs w:val="24"/>
        </w:rPr>
        <w:t xml:space="preserve"> and vaccination together to reduce the transmission of the pandemic. </w:t>
      </w:r>
    </w:p>
    <w:p w:rsidR="002F4983" w:rsidRPr="009872B0" w:rsidRDefault="002F4983" w:rsidP="002F4983">
      <w:pPr>
        <w:spacing w:line="360" w:lineRule="auto"/>
        <w:jc w:val="both"/>
        <w:rPr>
          <w:rFonts w:ascii="Times New Roman" w:hAnsi="Times New Roman" w:cs="Times New Roman"/>
          <w:sz w:val="24"/>
          <w:szCs w:val="24"/>
        </w:rPr>
      </w:pPr>
      <w:r w:rsidRPr="009872B0">
        <w:rPr>
          <w:rFonts w:ascii="Times New Roman" w:hAnsi="Times New Roman" w:cs="Times New Roman"/>
          <w:sz w:val="24"/>
          <w:szCs w:val="24"/>
        </w:rPr>
        <w:t xml:space="preserve">Those studies, which look into the effect of individual NPIs, are applied within various regions and come out to some extent with various results. Li et. al., (2022) find that mass gathering restrictions and school closings are associated with the largest average reductions in infection rates </w:t>
      </w:r>
      <w:r w:rsidRPr="009872B0">
        <w:rPr>
          <w:rFonts w:ascii="Times New Roman" w:hAnsi="Times New Roman" w:cs="Times New Roman"/>
          <w:sz w:val="24"/>
          <w:szCs w:val="24"/>
        </w:rPr>
        <w:lastRenderedPageBreak/>
        <w:t>in large scale epidemic areas. While studying the effects of government policies from the empirical changes of weekly growth rates within different pandemic waves in 133 countries before vaccine roll-outs, Ge et. al., (2022) find that gathering restrictions and facial coverings play significant roles in epidemic mitigation.</w:t>
      </w:r>
    </w:p>
    <w:p w:rsidR="002F4983" w:rsidRPr="009872B0" w:rsidRDefault="002F4983" w:rsidP="002F4983">
      <w:pPr>
        <w:spacing w:line="360" w:lineRule="auto"/>
        <w:jc w:val="both"/>
        <w:rPr>
          <w:rFonts w:ascii="Times New Roman" w:hAnsi="Times New Roman" w:cs="Times New Roman"/>
          <w:sz w:val="24"/>
          <w:szCs w:val="24"/>
        </w:rPr>
      </w:pPr>
      <w:r w:rsidRPr="009872B0">
        <w:rPr>
          <w:rFonts w:ascii="Times New Roman" w:hAnsi="Times New Roman" w:cs="Times New Roman"/>
          <w:sz w:val="24"/>
          <w:szCs w:val="24"/>
        </w:rPr>
        <w:t xml:space="preserve">Among Asian countries, the facial covering policy in the pre-vaccination period and restrictions on gatherings and public transport closure in the post-vaccination period, are the most effective interventions, according to </w:t>
      </w:r>
      <w:proofErr w:type="spellStart"/>
      <w:r w:rsidRPr="009872B0">
        <w:rPr>
          <w:rFonts w:ascii="Times New Roman" w:hAnsi="Times New Roman" w:cs="Times New Roman"/>
          <w:sz w:val="24"/>
          <w:szCs w:val="24"/>
        </w:rPr>
        <w:t>Huy</w:t>
      </w:r>
      <w:proofErr w:type="spellEnd"/>
      <w:r w:rsidRPr="009872B0">
        <w:rPr>
          <w:rFonts w:ascii="Times New Roman" w:hAnsi="Times New Roman" w:cs="Times New Roman"/>
          <w:sz w:val="24"/>
          <w:szCs w:val="24"/>
        </w:rPr>
        <w:t xml:space="preserve"> et. al., (2022). </w:t>
      </w:r>
    </w:p>
    <w:p w:rsidR="002F4983" w:rsidRPr="009872B0" w:rsidRDefault="002F4983" w:rsidP="002F4983">
      <w:pPr>
        <w:spacing w:line="360" w:lineRule="auto"/>
        <w:jc w:val="both"/>
        <w:rPr>
          <w:rFonts w:ascii="Times New Roman" w:hAnsi="Times New Roman" w:cs="Times New Roman"/>
          <w:sz w:val="24"/>
          <w:szCs w:val="24"/>
        </w:rPr>
      </w:pPr>
      <w:r w:rsidRPr="009872B0">
        <w:rPr>
          <w:rFonts w:ascii="Times New Roman" w:hAnsi="Times New Roman" w:cs="Times New Roman"/>
          <w:sz w:val="24"/>
          <w:szCs w:val="24"/>
        </w:rPr>
        <w:t xml:space="preserve">Liu et. al., (2022) (using lasso regression model) conclude that the rate of masks used in individual prevention does not seem to be related to cumulative mortality or morbidity in European countries, but that the mobility index generated by personal behavior might be the more important prevention policy. </w:t>
      </w:r>
    </w:p>
    <w:p w:rsidR="002F4983" w:rsidRPr="009872B0" w:rsidRDefault="002F4983" w:rsidP="002F4983">
      <w:pPr>
        <w:spacing w:line="360" w:lineRule="auto"/>
        <w:jc w:val="both"/>
        <w:rPr>
          <w:rFonts w:ascii="Times New Roman" w:hAnsi="Times New Roman" w:cs="Times New Roman"/>
          <w:sz w:val="24"/>
          <w:szCs w:val="24"/>
        </w:rPr>
      </w:pPr>
      <w:r w:rsidRPr="009872B0">
        <w:rPr>
          <w:rFonts w:ascii="Times New Roman" w:hAnsi="Times New Roman" w:cs="Times New Roman"/>
          <w:sz w:val="24"/>
          <w:szCs w:val="24"/>
        </w:rPr>
        <w:t>Leech et. al., (2022) aim at declaring the inconsistency regarding the effects of mask wearing in the literature. They focus on how masks mandates represent a poor proxy for mask-wearing effectiveness. They study 56 countries between May and September 2020 and conclude that mask wearing reduces the reproduction rate of SARS-CoV-2 by 19 percent.</w:t>
      </w:r>
    </w:p>
    <w:p w:rsidR="008A6B28" w:rsidRDefault="002F4983" w:rsidP="004638D4">
      <w:pPr>
        <w:spacing w:after="0" w:line="360" w:lineRule="auto"/>
        <w:jc w:val="both"/>
        <w:rPr>
          <w:rFonts w:ascii="Times New Roman" w:hAnsi="Times New Roman" w:cs="Times New Roman"/>
          <w:sz w:val="24"/>
          <w:szCs w:val="24"/>
        </w:rPr>
      </w:pPr>
      <w:r w:rsidRPr="009872B0">
        <w:rPr>
          <w:rFonts w:ascii="Times New Roman" w:hAnsi="Times New Roman" w:cs="Times New Roman"/>
          <w:sz w:val="24"/>
          <w:szCs w:val="24"/>
        </w:rPr>
        <w:t xml:space="preserve">Evidence-based research into the effectiveness of government SARS-CoV-2 policies is still under progress and can be traced through the recent literature e.g. in the works of </w:t>
      </w:r>
      <w:proofErr w:type="spellStart"/>
      <w:r w:rsidRPr="009872B0">
        <w:rPr>
          <w:rFonts w:ascii="Times New Roman" w:hAnsi="Times New Roman" w:cs="Times New Roman"/>
          <w:sz w:val="24"/>
          <w:szCs w:val="24"/>
        </w:rPr>
        <w:t>Chirwa</w:t>
      </w:r>
      <w:proofErr w:type="spellEnd"/>
      <w:r w:rsidRPr="009872B0">
        <w:rPr>
          <w:rFonts w:ascii="Times New Roman" w:hAnsi="Times New Roman" w:cs="Times New Roman"/>
          <w:sz w:val="24"/>
          <w:szCs w:val="24"/>
        </w:rPr>
        <w:t xml:space="preserve"> et. al. </w:t>
      </w:r>
      <w:r w:rsidRPr="009872B0">
        <w:rPr>
          <w:rFonts w:ascii="Times New Roman" w:hAnsi="Times New Roman" w:cs="Times New Roman"/>
          <w:sz w:val="24"/>
          <w:szCs w:val="24"/>
          <w:lang w:val="de-DE"/>
        </w:rPr>
        <w:t xml:space="preserve">(2023), Pozo-Martin et. al. (2023), Damette et. al. (2023), Nguyen et. al. </w:t>
      </w:r>
      <w:r w:rsidRPr="009872B0">
        <w:rPr>
          <w:rFonts w:ascii="Times New Roman" w:hAnsi="Times New Roman" w:cs="Times New Roman"/>
          <w:sz w:val="24"/>
          <w:szCs w:val="24"/>
        </w:rPr>
        <w:t xml:space="preserve">(203), </w:t>
      </w:r>
      <w:proofErr w:type="spellStart"/>
      <w:r w:rsidRPr="009872B0">
        <w:rPr>
          <w:rFonts w:ascii="Times New Roman" w:hAnsi="Times New Roman" w:cs="Times New Roman"/>
          <w:sz w:val="24"/>
          <w:szCs w:val="24"/>
        </w:rPr>
        <w:t>Kamineni</w:t>
      </w:r>
      <w:proofErr w:type="spellEnd"/>
      <w:r w:rsidRPr="009872B0">
        <w:rPr>
          <w:rFonts w:ascii="Times New Roman" w:hAnsi="Times New Roman" w:cs="Times New Roman"/>
          <w:sz w:val="24"/>
          <w:szCs w:val="24"/>
        </w:rPr>
        <w:t xml:space="preserve"> et. al. (2023), Novak et. al. (2023) and </w:t>
      </w:r>
      <w:proofErr w:type="spellStart"/>
      <w:r w:rsidRPr="009872B0">
        <w:rPr>
          <w:rFonts w:ascii="Times New Roman" w:hAnsi="Times New Roman" w:cs="Times New Roman"/>
          <w:sz w:val="24"/>
          <w:szCs w:val="24"/>
        </w:rPr>
        <w:t>Pung</w:t>
      </w:r>
      <w:proofErr w:type="spellEnd"/>
      <w:r w:rsidRPr="009872B0">
        <w:rPr>
          <w:rFonts w:ascii="Times New Roman" w:hAnsi="Times New Roman" w:cs="Times New Roman"/>
          <w:sz w:val="24"/>
          <w:szCs w:val="24"/>
        </w:rPr>
        <w:t xml:space="preserve"> et. al. (2023)</w:t>
      </w:r>
      <w:r w:rsidR="00DF2F8E">
        <w:rPr>
          <w:rFonts w:ascii="Times New Roman" w:hAnsi="Times New Roman" w:cs="Times New Roman"/>
          <w:sz w:val="24"/>
          <w:szCs w:val="24"/>
        </w:rPr>
        <w:t xml:space="preserve">. </w:t>
      </w:r>
      <w:r w:rsidRPr="009872B0">
        <w:rPr>
          <w:rFonts w:ascii="Times New Roman" w:hAnsi="Times New Roman" w:cs="Times New Roman"/>
          <w:sz w:val="24"/>
          <w:szCs w:val="24"/>
        </w:rPr>
        <w:t>This paper departs from the preceding context methodologically and through its scope of research</w:t>
      </w:r>
      <w:r>
        <w:rPr>
          <w:rFonts w:ascii="Times New Roman" w:hAnsi="Times New Roman" w:cs="Times New Roman"/>
          <w:sz w:val="24"/>
          <w:szCs w:val="24"/>
        </w:rPr>
        <w:t>. We apply</w:t>
      </w:r>
      <w:r w:rsidR="00DF2F8E">
        <w:rPr>
          <w:rFonts w:ascii="Times New Roman" w:hAnsi="Times New Roman" w:cs="Times New Roman"/>
          <w:sz w:val="24"/>
          <w:szCs w:val="24"/>
        </w:rPr>
        <w:t xml:space="preserve"> a Bayesian </w:t>
      </w:r>
      <w:r>
        <w:rPr>
          <w:rFonts w:ascii="Times New Roman" w:hAnsi="Times New Roman" w:cs="Times New Roman"/>
          <w:sz w:val="24"/>
          <w:szCs w:val="24"/>
        </w:rPr>
        <w:t xml:space="preserve">approach to draw predictive inferences </w:t>
      </w:r>
      <w:r w:rsidR="00913891">
        <w:rPr>
          <w:rFonts w:ascii="Times New Roman" w:hAnsi="Times New Roman" w:cs="Times New Roman"/>
          <w:sz w:val="24"/>
          <w:szCs w:val="24"/>
        </w:rPr>
        <w:t xml:space="preserve">with regard to the </w:t>
      </w:r>
      <w:r>
        <w:rPr>
          <w:rFonts w:ascii="Times New Roman" w:hAnsi="Times New Roman" w:cs="Times New Roman"/>
          <w:sz w:val="24"/>
          <w:szCs w:val="24"/>
        </w:rPr>
        <w:t>pandemic growth rates</w:t>
      </w:r>
      <w:r w:rsidR="00913891">
        <w:rPr>
          <w:rFonts w:ascii="Times New Roman" w:hAnsi="Times New Roman" w:cs="Times New Roman"/>
          <w:sz w:val="24"/>
          <w:szCs w:val="24"/>
        </w:rPr>
        <w:t xml:space="preserve"> and various </w:t>
      </w:r>
      <w:r w:rsidR="004638D4">
        <w:rPr>
          <w:rFonts w:ascii="Times New Roman" w:hAnsi="Times New Roman" w:cs="Times New Roman"/>
          <w:sz w:val="24"/>
          <w:szCs w:val="24"/>
        </w:rPr>
        <w:t xml:space="preserve">government policies as well as the effects of seasonality, dominant virus variants and pre and post vaccination period </w:t>
      </w:r>
      <w:r w:rsidR="004638D4" w:rsidRPr="00B21E83">
        <w:rPr>
          <w:rFonts w:ascii="Times New Roman" w:hAnsi="Times New Roman" w:cs="Times New Roman"/>
          <w:sz w:val="24"/>
          <w:szCs w:val="24"/>
        </w:rPr>
        <w:t>in</w:t>
      </w:r>
      <w:r w:rsidRPr="009872B0">
        <w:rPr>
          <w:rFonts w:ascii="Times New Roman" w:hAnsi="Times New Roman" w:cs="Times New Roman"/>
          <w:sz w:val="24"/>
          <w:szCs w:val="24"/>
        </w:rPr>
        <w:t xml:space="preserve"> </w:t>
      </w:r>
      <w:r w:rsidR="00913891">
        <w:rPr>
          <w:rFonts w:ascii="Times New Roman" w:hAnsi="Times New Roman" w:cs="Times New Roman"/>
          <w:sz w:val="24"/>
          <w:szCs w:val="24"/>
        </w:rPr>
        <w:t xml:space="preserve">30 </w:t>
      </w:r>
      <w:r w:rsidRPr="009872B0">
        <w:rPr>
          <w:rFonts w:ascii="Times New Roman" w:hAnsi="Times New Roman" w:cs="Times New Roman"/>
          <w:sz w:val="24"/>
          <w:szCs w:val="24"/>
        </w:rPr>
        <w:t>European countries</w:t>
      </w:r>
      <w:r>
        <w:rPr>
          <w:rFonts w:ascii="Times New Roman" w:hAnsi="Times New Roman" w:cs="Times New Roman"/>
          <w:sz w:val="24"/>
          <w:szCs w:val="24"/>
        </w:rPr>
        <w:t xml:space="preserve"> </w:t>
      </w:r>
      <w:r w:rsidRPr="00B21E83">
        <w:rPr>
          <w:rFonts w:ascii="Times New Roman" w:hAnsi="Times New Roman" w:cs="Times New Roman"/>
          <w:sz w:val="24"/>
          <w:szCs w:val="24"/>
        </w:rPr>
        <w:t xml:space="preserve">over </w:t>
      </w:r>
      <w:r>
        <w:rPr>
          <w:rFonts w:ascii="Times New Roman" w:hAnsi="Times New Roman" w:cs="Times New Roman"/>
          <w:sz w:val="24"/>
          <w:szCs w:val="24"/>
        </w:rPr>
        <w:t>a relative long period</w:t>
      </w:r>
      <w:r w:rsidRPr="00B21E83">
        <w:rPr>
          <w:rFonts w:ascii="Times New Roman" w:hAnsi="Times New Roman" w:cs="Times New Roman"/>
          <w:sz w:val="24"/>
          <w:szCs w:val="24"/>
        </w:rPr>
        <w:t xml:space="preserve"> of </w:t>
      </w:r>
      <w:r>
        <w:rPr>
          <w:rFonts w:ascii="Times New Roman" w:hAnsi="Times New Roman" w:cs="Times New Roman"/>
          <w:sz w:val="24"/>
          <w:szCs w:val="24"/>
        </w:rPr>
        <w:t>the SARS-CoV-2 pandemic</w:t>
      </w:r>
      <w:r w:rsidR="00DF2F8E">
        <w:rPr>
          <w:rFonts w:ascii="Times New Roman" w:hAnsi="Times New Roman" w:cs="Times New Roman"/>
          <w:sz w:val="24"/>
          <w:szCs w:val="24"/>
        </w:rPr>
        <w:t>.</w:t>
      </w:r>
    </w:p>
    <w:p w:rsidR="008A6B28" w:rsidRDefault="00DF2F8E">
      <w:pPr>
        <w:pStyle w:val="Heading2"/>
        <w:numPr>
          <w:ilvl w:val="0"/>
          <w:numId w:val="5"/>
        </w:numPr>
        <w:spacing w:line="360" w:lineRule="auto"/>
        <w:rPr>
          <w:rFonts w:ascii="Times New Roman" w:hAnsi="Times New Roman" w:cs="Times New Roman"/>
          <w:sz w:val="28"/>
          <w:szCs w:val="28"/>
        </w:rPr>
      </w:pPr>
      <w:r>
        <w:rPr>
          <w:rFonts w:ascii="Times New Roman" w:hAnsi="Times New Roman" w:cs="Times New Roman"/>
          <w:sz w:val="28"/>
          <w:szCs w:val="28"/>
        </w:rPr>
        <w:t>Analysis basis</w:t>
      </w:r>
    </w:p>
    <w:p w:rsidR="008A6B28" w:rsidRDefault="00C62485">
      <w:pPr>
        <w:pStyle w:val="Heading3"/>
        <w:rPr>
          <w:rFonts w:ascii="Times New Roman" w:hAnsi="Times New Roman" w:cs="Times New Roman"/>
          <w:sz w:val="24"/>
          <w:szCs w:val="24"/>
        </w:rPr>
      </w:pPr>
      <w:r>
        <w:rPr>
          <w:rFonts w:ascii="Times New Roman" w:hAnsi="Times New Roman" w:cs="Times New Roman"/>
          <w:sz w:val="24"/>
          <w:szCs w:val="24"/>
        </w:rPr>
        <w:t>3.1 Basic response variable</w:t>
      </w:r>
    </w:p>
    <w:p w:rsidR="008A6B28" w:rsidRDefault="00DF2F8E" w:rsidP="006B7514">
      <w:pPr>
        <w:pStyle w:val="FootnoteText"/>
        <w:spacing w:line="360" w:lineRule="auto"/>
        <w:jc w:val="both"/>
        <w:rPr>
          <w:rStyle w:val="markedcontent"/>
          <w:rFonts w:ascii="Times New Roman" w:eastAsia="Arial" w:hAnsi="Times New Roman" w:cs="Times New Roman"/>
          <w:sz w:val="24"/>
          <w:szCs w:val="24"/>
        </w:rPr>
      </w:pPr>
      <w:r>
        <w:rPr>
          <w:rStyle w:val="markedcontent"/>
          <w:rFonts w:ascii="Times New Roman" w:hAnsi="Times New Roman" w:cs="Times New Roman"/>
          <w:sz w:val="24"/>
          <w:szCs w:val="24"/>
        </w:rPr>
        <w:t xml:space="preserve">In line with preceding literature analysis we presume </w:t>
      </w:r>
      <w:r>
        <w:rPr>
          <w:rStyle w:val="markedcontent"/>
          <w:rFonts w:ascii="Times New Roman" w:hAnsi="Times New Roman" w:cs="Times New Roman"/>
          <w:i/>
          <w:iCs/>
          <w:sz w:val="24"/>
          <w:szCs w:val="24"/>
        </w:rPr>
        <w:t>reproduction rate</w:t>
      </w:r>
      <w:r>
        <w:rPr>
          <w:rStyle w:val="markedcontent"/>
          <w:rFonts w:ascii="Times New Roman" w:hAnsi="Times New Roman" w:cs="Times New Roman"/>
          <w:sz w:val="24"/>
          <w:szCs w:val="24"/>
        </w:rPr>
        <w:t xml:space="preserve"> </w:t>
      </w:r>
      <m:oMath>
        <m:sSub>
          <m:sSubPr>
            <m:ctrlPr>
              <w:rPr>
                <w:rFonts w:ascii="Cambria Math" w:hAnsi="Cambria Math" w:cs="Times New Roman"/>
                <w:i/>
                <w:iCs/>
                <w:sz w:val="24"/>
                <w:szCs w:val="24"/>
              </w:rPr>
            </m:ctrlPr>
          </m:sSubPr>
          <m:e>
            <m:r>
              <w:rPr>
                <w:rFonts w:ascii="Cambria Math" w:eastAsia="Cambria Math" w:hAnsi="Cambria Math" w:cs="Times New Roman"/>
                <w:sz w:val="24"/>
                <w:szCs w:val="24"/>
              </w:rPr>
              <m:t>R</m:t>
            </m:r>
          </m:e>
          <m:sub>
            <m:r>
              <w:rPr>
                <w:rFonts w:ascii="Cambria Math" w:hAnsi="Cambria Math" w:cs="Times New Roman"/>
                <w:sz w:val="24"/>
                <w:szCs w:val="24"/>
              </w:rPr>
              <m:t>i</m:t>
            </m:r>
          </m:sub>
        </m:sSub>
      </m:oMath>
      <w:r>
        <w:rPr>
          <w:rStyle w:val="markedcontent"/>
          <w:rFonts w:ascii="Times New Roman" w:hAnsi="Times New Roman" w:cs="Times New Roman"/>
          <w:sz w:val="24"/>
          <w:szCs w:val="24"/>
        </w:rPr>
        <w:t xml:space="preserve"> and the </w:t>
      </w:r>
      <w:r>
        <w:rPr>
          <w:rStyle w:val="markedcontent"/>
          <w:rFonts w:ascii="Times New Roman" w:hAnsi="Times New Roman" w:cs="Times New Roman"/>
          <w:i/>
          <w:iCs/>
          <w:sz w:val="24"/>
          <w:szCs w:val="24"/>
        </w:rPr>
        <w:t xml:space="preserve">growth rate </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oMath>
      <w:r>
        <w:rPr>
          <w:rStyle w:val="markedcontent"/>
          <w:rFonts w:ascii="Times New Roman" w:hAnsi="Times New Roman" w:cs="Times New Roman"/>
          <w:sz w:val="24"/>
          <w:szCs w:val="24"/>
        </w:rPr>
        <w:t xml:space="preserve"> of the pandemic as the main </w:t>
      </w:r>
      <w:r w:rsidR="00C62485">
        <w:rPr>
          <w:rStyle w:val="markedcontent"/>
          <w:rFonts w:ascii="Times New Roman" w:hAnsi="Times New Roman" w:cs="Times New Roman"/>
          <w:sz w:val="24"/>
          <w:szCs w:val="24"/>
        </w:rPr>
        <w:t>response variable</w:t>
      </w:r>
      <w:r>
        <w:rPr>
          <w:rStyle w:val="markedcontent"/>
          <w:rFonts w:ascii="Times New Roman" w:hAnsi="Times New Roman" w:cs="Times New Roman"/>
          <w:sz w:val="24"/>
          <w:szCs w:val="24"/>
        </w:rPr>
        <w:t xml:space="preserve"> to </w:t>
      </w:r>
      <w:r w:rsidR="00C62485">
        <w:rPr>
          <w:rStyle w:val="markedcontent"/>
          <w:rFonts w:ascii="Times New Roman" w:hAnsi="Times New Roman" w:cs="Times New Roman"/>
          <w:sz w:val="24"/>
          <w:szCs w:val="24"/>
        </w:rPr>
        <w:t>a number of explanatory variables</w:t>
      </w:r>
      <w:r w:rsidR="006B7514">
        <w:rPr>
          <w:rStyle w:val="markedcontent"/>
          <w:rFonts w:ascii="Times New Roman" w:hAnsi="Times New Roman" w:cs="Times New Roman"/>
          <w:sz w:val="24"/>
          <w:szCs w:val="24"/>
        </w:rPr>
        <w:t>.</w:t>
      </w:r>
    </w:p>
    <w:p w:rsidR="008A6B28" w:rsidRDefault="00A0068F">
      <w:pPr>
        <w:pStyle w:val="FootnoteText"/>
        <w:spacing w:line="360" w:lineRule="auto"/>
        <w:jc w:val="both"/>
        <w:rPr>
          <w:rFonts w:ascii="Times New Roman" w:hAnsi="Times New Roman" w:cs="Times New Roman"/>
          <w:sz w:val="24"/>
          <w:szCs w:val="24"/>
        </w:rPr>
      </w:pPr>
      <w:r w:rsidRPr="008B2BC5">
        <w:rPr>
          <w:rFonts w:ascii="Times New Roman" w:hAnsi="Times New Roman" w:cs="Times New Roman"/>
          <w:sz w:val="24"/>
          <w:szCs w:val="24"/>
        </w:rPr>
        <w:lastRenderedPageBreak/>
        <w:t xml:space="preserve">The calculation of the point estimate of reproduction number </w:t>
      </w:r>
      <m:oMath>
        <m:sSub>
          <m:sSubPr>
            <m:ctrlPr>
              <w:rPr>
                <w:rFonts w:ascii="Cambria Math" w:hAnsi="Cambria Math" w:cs="Times New Roman"/>
                <w:i/>
                <w:sz w:val="24"/>
                <w:szCs w:val="24"/>
              </w:rPr>
            </m:ctrlPr>
          </m:sSubPr>
          <m:e>
            <m:r>
              <w:rPr>
                <w:rFonts w:ascii="Cambria Math" w:eastAsia="Cambria Math" w:hAnsi="Cambria Math" w:cs="Times New Roman"/>
                <w:sz w:val="24"/>
                <w:szCs w:val="24"/>
              </w:rPr>
              <m:t>R</m:t>
            </m:r>
          </m:e>
          <m:sub>
            <m:r>
              <w:rPr>
                <w:rFonts w:ascii="Cambria Math" w:hAnsi="Cambria Math" w:cs="Times New Roman"/>
                <w:sz w:val="24"/>
                <w:szCs w:val="24"/>
              </w:rPr>
              <m:t>i</m:t>
            </m:r>
          </m:sub>
        </m:sSub>
      </m:oMath>
      <w:r w:rsidRPr="008B2BC5">
        <w:rPr>
          <w:rFonts w:ascii="Times New Roman" w:hAnsi="Times New Roman" w:cs="Times New Roman"/>
          <w:sz w:val="24"/>
          <w:szCs w:val="24"/>
        </w:rPr>
        <w:t xml:space="preserve"> for a given day </w:t>
      </w:r>
      <w:proofErr w:type="spellStart"/>
      <w:r w:rsidRPr="008B2BC5">
        <w:rPr>
          <w:rFonts w:ascii="Times New Roman" w:hAnsi="Times New Roman" w:cs="Times New Roman"/>
          <w:i/>
          <w:iCs/>
          <w:sz w:val="24"/>
          <w:szCs w:val="24"/>
        </w:rPr>
        <w:t>i</w:t>
      </w:r>
      <w:proofErr w:type="spellEnd"/>
      <w:r w:rsidRPr="008B2BC5">
        <w:rPr>
          <w:rFonts w:ascii="Times New Roman" w:hAnsi="Times New Roman" w:cs="Times New Roman"/>
          <w:sz w:val="24"/>
          <w:szCs w:val="24"/>
        </w:rPr>
        <w:t xml:space="preserve"> is </w:t>
      </w:r>
      <w:r>
        <w:rPr>
          <w:rFonts w:ascii="Times New Roman" w:hAnsi="Times New Roman" w:cs="Times New Roman"/>
          <w:sz w:val="24"/>
          <w:szCs w:val="24"/>
        </w:rPr>
        <w:t>defined</w:t>
      </w:r>
      <w:r w:rsidRPr="008B2BC5">
        <w:rPr>
          <w:rFonts w:ascii="Times New Roman" w:hAnsi="Times New Roman" w:cs="Times New Roman"/>
          <w:sz w:val="24"/>
          <w:szCs w:val="24"/>
        </w:rPr>
        <w:t xml:space="preserve"> as the simple quotient of the number of new cases for that day divided by the number of new cases 7 days </w:t>
      </w:r>
      <w:r w:rsidRPr="008B2BC5">
        <w:rPr>
          <w:rFonts w:ascii="Times New Roman" w:hAnsi="Times New Roman" w:cs="Times New Roman"/>
          <w:i/>
          <w:sz w:val="24"/>
          <w:szCs w:val="24"/>
        </w:rPr>
        <w:t>before</w:t>
      </w:r>
      <w:r w:rsidRPr="008B2BC5">
        <w:rPr>
          <w:rFonts w:ascii="Times New Roman" w:hAnsi="Times New Roman" w:cs="Times New Roman"/>
          <w:sz w:val="24"/>
          <w:szCs w:val="24"/>
        </w:rPr>
        <w:t xml:space="preserve"> (</w:t>
      </w:r>
      <w:proofErr w:type="spellStart"/>
      <w:r w:rsidRPr="008B2BC5">
        <w:fldChar w:fldCharType="begin"/>
      </w:r>
      <w:r w:rsidRPr="008B2BC5">
        <w:rPr>
          <w:rFonts w:ascii="Times New Roman" w:hAnsi="Times New Roman" w:cs="Times New Roman"/>
          <w:sz w:val="24"/>
          <w:szCs w:val="24"/>
        </w:rPr>
        <w:instrText xml:space="preserve"> HYPERLINK "https://de.statista.com/statistik/daten/studie/1117478/umfrage/reproduktionszahl-des-coronavirus-covid-19-in-deutschland/" \o "https://de.statista.com/" </w:instrText>
      </w:r>
      <w:r w:rsidRPr="008B2BC5">
        <w:fldChar w:fldCharType="separate"/>
      </w:r>
      <w:r w:rsidRPr="008B2BC5">
        <w:rPr>
          <w:rStyle w:val="Hyperlink"/>
          <w:rFonts w:ascii="Times New Roman" w:hAnsi="Times New Roman" w:cs="Times New Roman"/>
          <w:sz w:val="24"/>
          <w:szCs w:val="24"/>
        </w:rPr>
        <w:t>statista</w:t>
      </w:r>
      <w:proofErr w:type="spellEnd"/>
      <w:r w:rsidRPr="008B2BC5">
        <w:rPr>
          <w:rStyle w:val="Hyperlink"/>
          <w:rFonts w:ascii="Times New Roman" w:hAnsi="Times New Roman" w:cs="Times New Roman"/>
          <w:sz w:val="24"/>
          <w:szCs w:val="24"/>
        </w:rPr>
        <w:fldChar w:fldCharType="end"/>
      </w:r>
      <w:r w:rsidRPr="008B2BC5">
        <w:rPr>
          <w:rFonts w:ascii="Times New Roman" w:hAnsi="Times New Roman" w:cs="Times New Roman"/>
          <w:sz w:val="24"/>
          <w:szCs w:val="24"/>
        </w:rPr>
        <w:t>).</w:t>
      </w:r>
      <w:r>
        <w:rPr>
          <w:rFonts w:ascii="Times New Roman" w:hAnsi="Times New Roman" w:cs="Times New Roman"/>
          <w:sz w:val="24"/>
          <w:szCs w:val="24"/>
        </w:rPr>
        <w:t xml:space="preserve"> </w:t>
      </w:r>
      <w:r w:rsidR="005A6EA2">
        <w:rPr>
          <w:rFonts w:ascii="Times New Roman" w:hAnsi="Times New Roman" w:cs="Times New Roman"/>
          <w:sz w:val="24"/>
          <w:szCs w:val="24"/>
        </w:rPr>
        <w:t>Hence, i</w:t>
      </w:r>
      <w:r w:rsidR="00DF2F8E">
        <w:rPr>
          <w:rFonts w:ascii="Times New Roman" w:hAnsi="Times New Roman" w:cs="Times New Roman"/>
          <w:sz w:val="24"/>
          <w:szCs w:val="24"/>
        </w:rPr>
        <w:t xml:space="preserve">f the number of observed SARS-CoV-2 positive cases in a day </w:t>
      </w:r>
      <w:proofErr w:type="spellStart"/>
      <w:r w:rsidR="00DF2F8E">
        <w:rPr>
          <w:rFonts w:ascii="Times New Roman" w:hAnsi="Times New Roman" w:cs="Times New Roman"/>
          <w:i/>
          <w:iCs/>
          <w:sz w:val="24"/>
          <w:szCs w:val="24"/>
        </w:rPr>
        <w:t>i</w:t>
      </w:r>
      <w:proofErr w:type="spellEnd"/>
      <w:r w:rsidR="00DF2F8E">
        <w:rPr>
          <w:rFonts w:ascii="Times New Roman" w:hAnsi="Times New Roman" w:cs="Times New Roman"/>
          <w:sz w:val="24"/>
          <w:szCs w:val="24"/>
        </w:rPr>
        <w:t xml:space="preserve"> is equal to </w:t>
      </w:r>
      <w:r w:rsidR="00DF2F8E">
        <w:rPr>
          <w:rFonts w:ascii="Times New Roman" w:hAnsi="Times New Roman" w:cs="Times New Roman"/>
          <w:i/>
          <w:iCs/>
          <w:sz w:val="24"/>
          <w:szCs w:val="24"/>
        </w:rPr>
        <w:t>I(</w:t>
      </w:r>
      <w:proofErr w:type="spellStart"/>
      <w:r w:rsidR="00DF2F8E">
        <w:rPr>
          <w:rFonts w:ascii="Times New Roman" w:hAnsi="Times New Roman" w:cs="Times New Roman"/>
          <w:i/>
          <w:iCs/>
          <w:sz w:val="24"/>
          <w:szCs w:val="24"/>
        </w:rPr>
        <w:t>i</w:t>
      </w:r>
      <w:proofErr w:type="spellEnd"/>
      <w:r w:rsidR="00DF2F8E">
        <w:rPr>
          <w:rFonts w:ascii="Times New Roman" w:hAnsi="Times New Roman" w:cs="Times New Roman"/>
          <w:i/>
          <w:iCs/>
          <w:sz w:val="24"/>
          <w:szCs w:val="24"/>
        </w:rPr>
        <w:t>)</w:t>
      </w:r>
      <w:r w:rsidR="00DF2F8E">
        <w:rPr>
          <w:rFonts w:ascii="Times New Roman" w:hAnsi="Times New Roman" w:cs="Times New Roman"/>
          <w:sz w:val="24"/>
          <w:szCs w:val="24"/>
        </w:rPr>
        <w:t xml:space="preserve"> and the average number of new cases from the day </w:t>
      </w:r>
      <w:r w:rsidR="00DF2F8E">
        <w:rPr>
          <w:rFonts w:ascii="Times New Roman" w:hAnsi="Times New Roman" w:cs="Times New Roman"/>
          <w:i/>
          <w:iCs/>
          <w:sz w:val="24"/>
          <w:szCs w:val="24"/>
        </w:rPr>
        <w:t>i</w:t>
      </w:r>
      <w:r w:rsidR="005A6EA2">
        <w:rPr>
          <w:rFonts w:ascii="Times New Roman" w:hAnsi="Times New Roman" w:cs="Times New Roman"/>
          <w:i/>
          <w:iCs/>
          <w:sz w:val="24"/>
          <w:szCs w:val="24"/>
        </w:rPr>
        <w:t>-n</w:t>
      </w:r>
      <w:r w:rsidR="002B7F38">
        <w:rPr>
          <w:rFonts w:ascii="Times New Roman" w:hAnsi="Times New Roman" w:cs="Times New Roman"/>
          <w:i/>
          <w:iCs/>
          <w:sz w:val="24"/>
          <w:szCs w:val="24"/>
        </w:rPr>
        <w:t>-1</w:t>
      </w:r>
      <w:r w:rsidR="00DF2F8E">
        <w:rPr>
          <w:rFonts w:ascii="Times New Roman" w:hAnsi="Times New Roman" w:cs="Times New Roman"/>
          <w:sz w:val="24"/>
          <w:szCs w:val="24"/>
        </w:rPr>
        <w:t xml:space="preserve"> on until the day </w:t>
      </w:r>
      <w:proofErr w:type="spellStart"/>
      <w:r w:rsidR="002B7F38">
        <w:rPr>
          <w:rFonts w:ascii="Times New Roman" w:hAnsi="Times New Roman" w:cs="Times New Roman"/>
          <w:i/>
          <w:iCs/>
          <w:sz w:val="24"/>
          <w:szCs w:val="24"/>
        </w:rPr>
        <w:t>i</w:t>
      </w:r>
      <w:proofErr w:type="spellEnd"/>
      <w:r w:rsidR="00DF2F8E">
        <w:rPr>
          <w:rFonts w:ascii="Times New Roman" w:hAnsi="Times New Roman" w:cs="Times New Roman"/>
          <w:sz w:val="24"/>
          <w:szCs w:val="24"/>
        </w:rPr>
        <w:t xml:space="preserve"> </w:t>
      </w:r>
      <w:r w:rsidR="00140A0F">
        <w:rPr>
          <w:rFonts w:ascii="Times New Roman" w:hAnsi="Times New Roman" w:cs="Times New Roman"/>
          <w:sz w:val="24"/>
          <w:szCs w:val="24"/>
        </w:rPr>
        <w:t xml:space="preserve">(7-days backward looking) </w:t>
      </w:r>
      <w:r w:rsidR="00DF2F8E">
        <w:rPr>
          <w:rFonts w:ascii="Times New Roman" w:hAnsi="Times New Roman" w:cs="Times New Roman"/>
          <w:sz w:val="24"/>
          <w:szCs w:val="24"/>
        </w:rPr>
        <w:t xml:space="preserve">is articulated by the incidence </w:t>
      </w:r>
      <m:oMath>
        <m:sSubSup>
          <m:sSubSupPr>
            <m:ctrlPr>
              <w:rPr>
                <w:rFonts w:ascii="Cambria Math" w:hAnsi="Cambria Math" w:cs="Times New Roman"/>
                <w:i/>
                <w:iCs/>
                <w:sz w:val="24"/>
                <w:szCs w:val="24"/>
              </w:rPr>
            </m:ctrlPr>
          </m:sSubSupPr>
          <m:e>
            <m:r>
              <w:rPr>
                <w:rFonts w:ascii="Cambria Math" w:hAnsi="Cambria Math" w:cs="Times New Roman"/>
                <w:sz w:val="24"/>
                <w:szCs w:val="24"/>
              </w:rPr>
              <m:t>I</m:t>
            </m:r>
          </m:e>
          <m:sub>
            <m:r>
              <w:rPr>
                <w:rFonts w:ascii="Cambria Math" w:hAnsi="Cambria Math" w:cs="Times New Roman"/>
                <w:sz w:val="24"/>
                <w:szCs w:val="24"/>
              </w:rPr>
              <m:t>i-n</m:t>
            </m:r>
          </m:sub>
          <m:sup>
            <m:r>
              <w:rPr>
                <w:rFonts w:ascii="Cambria Math" w:hAnsi="Cambria Math" w:cs="Times New Roman"/>
                <w:sz w:val="24"/>
                <w:szCs w:val="24"/>
              </w:rPr>
              <m:t>A</m:t>
            </m:r>
          </m:sup>
        </m:sSubSup>
        <m:r>
          <w:rPr>
            <w:rFonts w:ascii="Cambria Math" w:hAnsi="Cambria Math" w:cs="Times New Roman"/>
            <w:sz w:val="24"/>
            <w:szCs w:val="24"/>
          </w:rPr>
          <m:t xml:space="preserve"> </m:t>
        </m:r>
      </m:oMath>
      <w:r w:rsidR="00DF2F8E">
        <w:rPr>
          <w:rFonts w:ascii="Times New Roman" w:hAnsi="Times New Roman" w:cs="Times New Roman"/>
          <w:sz w:val="24"/>
          <w:szCs w:val="24"/>
        </w:rPr>
        <w:t xml:space="preserve">presented in the equation (1): </w:t>
      </w:r>
    </w:p>
    <w:p w:rsidR="008A6B28" w:rsidRDefault="00681696" w:rsidP="00140A0F">
      <w:pPr>
        <w:pStyle w:val="FootnoteText"/>
        <w:spacing w:line="360" w:lineRule="auto"/>
        <w:rPr>
          <w:rFonts w:ascii="Times New Roman" w:hAnsi="Times New Roman" w:cs="Times New Roman"/>
          <w:sz w:val="24"/>
          <w:szCs w:val="24"/>
        </w:rPr>
      </w:pPr>
      <m:oMath>
        <m:sSubSup>
          <m:sSubSupPr>
            <m:ctrlPr>
              <w:rPr>
                <w:rFonts w:ascii="Cambria Math" w:hAnsi="Cambria Math" w:cs="Times New Roman"/>
                <w:i/>
                <w:iCs/>
                <w:sz w:val="24"/>
                <w:szCs w:val="24"/>
              </w:rPr>
            </m:ctrlPr>
          </m:sSubSupPr>
          <m:e>
            <m:r>
              <w:rPr>
                <w:rFonts w:ascii="Cambria Math" w:hAnsi="Cambria Math" w:cs="Times New Roman"/>
                <w:sz w:val="24"/>
                <w:szCs w:val="24"/>
              </w:rPr>
              <m:t>I</m:t>
            </m:r>
          </m:e>
          <m:sub>
            <m:r>
              <w:rPr>
                <w:rFonts w:ascii="Cambria Math" w:hAnsi="Cambria Math" w:cs="Times New Roman"/>
                <w:sz w:val="24"/>
                <w:szCs w:val="24"/>
              </w:rPr>
              <m:t>i-n</m:t>
            </m:r>
          </m:sub>
          <m:sup>
            <m:r>
              <w:rPr>
                <w:rFonts w:ascii="Cambria Math" w:hAnsi="Cambria Math" w:cs="Times New Roman"/>
                <w:sz w:val="24"/>
                <w:szCs w:val="24"/>
              </w:rPr>
              <m:t>A</m:t>
            </m:r>
          </m:sup>
        </m:sSubSup>
        <m:r>
          <w:rPr>
            <w:rFonts w:ascii="Cambria Math" w:hAnsi="Cambria Math" w:cs="Times New Roman"/>
            <w:sz w:val="24"/>
            <w:szCs w:val="24"/>
          </w:rPr>
          <m:t>=</m:t>
        </m:r>
        <m:f>
          <m:fPr>
            <m:ctrlPr>
              <w:rPr>
                <w:rFonts w:ascii="Cambria Math" w:hAnsi="Cambria Math" w:cs="Times New Roman"/>
                <w:i/>
                <w:iCs/>
                <w:sz w:val="24"/>
                <w:szCs w:val="24"/>
              </w:rPr>
            </m:ctrlPr>
          </m:fPr>
          <m:num>
            <m:nary>
              <m:naryPr>
                <m:chr m:val="∑"/>
                <m:limLoc m:val="undOvr"/>
                <m:ctrlPr>
                  <w:rPr>
                    <w:rFonts w:ascii="Cambria Math" w:hAnsi="Cambria Math" w:cs="Times New Roman"/>
                    <w:i/>
                    <w:iCs/>
                    <w:sz w:val="24"/>
                    <w:szCs w:val="24"/>
                  </w:rPr>
                </m:ctrlPr>
              </m:naryPr>
              <m:sub>
                <m:r>
                  <w:rPr>
                    <w:rFonts w:ascii="Cambria Math" w:hAnsi="Cambria Math" w:cs="Times New Roman"/>
                    <w:sz w:val="24"/>
                    <w:szCs w:val="24"/>
                  </w:rPr>
                  <m:t>j=i-n</m:t>
                </m:r>
              </m:sub>
              <m:sup>
                <m:r>
                  <w:rPr>
                    <w:rFonts w:ascii="Cambria Math" w:hAnsi="Cambria Math" w:cs="Times New Roman"/>
                    <w:sz w:val="24"/>
                    <w:szCs w:val="24"/>
                  </w:rPr>
                  <m:t>i-1</m:t>
                </m:r>
              </m:sup>
              <m:e>
                <m:r>
                  <w:rPr>
                    <w:rFonts w:ascii="Cambria Math" w:hAnsi="Cambria Math" w:cs="Times New Roman"/>
                    <w:sz w:val="24"/>
                    <w:szCs w:val="24"/>
                  </w:rPr>
                  <m:t>I(j)</m:t>
                </m:r>
              </m:e>
            </m:nary>
          </m:num>
          <m:den>
            <m:r>
              <w:rPr>
                <w:rFonts w:ascii="Cambria Math" w:hAnsi="Cambria Math" w:cs="Times New Roman"/>
                <w:sz w:val="24"/>
                <w:szCs w:val="24"/>
              </w:rPr>
              <m:t>n</m:t>
            </m:r>
          </m:den>
        </m:f>
      </m:oMath>
      <w:r w:rsidR="006B1E87">
        <w:rPr>
          <w:rFonts w:ascii="Times New Roman" w:hAnsi="Times New Roman" w:cs="Times New Roman"/>
          <w:sz w:val="24"/>
          <w:szCs w:val="24"/>
        </w:rPr>
        <w:t>, n=7</w:t>
      </w:r>
      <w:r w:rsidR="00DF2F8E">
        <w:rPr>
          <w:rFonts w:ascii="Times New Roman" w:hAnsi="Times New Roman" w:cs="Times New Roman"/>
          <w:sz w:val="24"/>
          <w:szCs w:val="24"/>
        </w:rPr>
        <w:t xml:space="preserve">                                                                                                              </w:t>
      </w:r>
      <w:r w:rsidR="00466589">
        <w:rPr>
          <w:rFonts w:ascii="Times New Roman" w:hAnsi="Times New Roman" w:cs="Times New Roman"/>
          <w:sz w:val="24"/>
          <w:szCs w:val="24"/>
        </w:rPr>
        <w:t xml:space="preserve">  </w:t>
      </w:r>
      <w:r w:rsidR="00DF2F8E">
        <w:rPr>
          <w:rFonts w:ascii="Times New Roman" w:hAnsi="Times New Roman" w:cs="Times New Roman"/>
          <w:sz w:val="24"/>
          <w:szCs w:val="24"/>
        </w:rPr>
        <w:t xml:space="preserve"> </w:t>
      </w:r>
      <w:proofErr w:type="gramStart"/>
      <w:r w:rsidR="00DF2F8E">
        <w:rPr>
          <w:rFonts w:ascii="Times New Roman" w:hAnsi="Times New Roman" w:cs="Times New Roman"/>
          <w:sz w:val="24"/>
          <w:szCs w:val="24"/>
        </w:rPr>
        <w:t xml:space="preserve"> </w:t>
      </w:r>
      <w:r w:rsidR="00140A0F">
        <w:rPr>
          <w:rFonts w:ascii="Times New Roman" w:hAnsi="Times New Roman" w:cs="Times New Roman"/>
          <w:sz w:val="24"/>
          <w:szCs w:val="24"/>
        </w:rPr>
        <w:t xml:space="preserve"> </w:t>
      </w:r>
      <w:r w:rsidR="00DF2F8E">
        <w:rPr>
          <w:rFonts w:ascii="Times New Roman" w:hAnsi="Times New Roman" w:cs="Times New Roman"/>
          <w:sz w:val="24"/>
          <w:szCs w:val="24"/>
        </w:rPr>
        <w:t xml:space="preserve"> (</w:t>
      </w:r>
      <w:proofErr w:type="gramEnd"/>
      <w:r w:rsidR="00DF2F8E">
        <w:rPr>
          <w:rFonts w:ascii="Times New Roman" w:hAnsi="Times New Roman" w:cs="Times New Roman"/>
          <w:sz w:val="24"/>
          <w:szCs w:val="24"/>
        </w:rPr>
        <w:t>1)</w:t>
      </w:r>
    </w:p>
    <w:p w:rsidR="008A6B28" w:rsidRDefault="00DF2F8E">
      <w:pPr>
        <w:pStyle w:val="FootnoteText"/>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Then, the </w:t>
      </w:r>
      <w:r w:rsidR="0044360D">
        <w:rPr>
          <w:rFonts w:ascii="Times New Roman" w:hAnsi="Times New Roman" w:cs="Times New Roman"/>
          <w:sz w:val="24"/>
          <w:szCs w:val="24"/>
        </w:rPr>
        <w:t xml:space="preserve">formal definition of the </w:t>
      </w:r>
      <w:r>
        <w:rPr>
          <w:rFonts w:ascii="Times New Roman" w:hAnsi="Times New Roman" w:cs="Times New Roman"/>
          <w:sz w:val="24"/>
          <w:szCs w:val="24"/>
        </w:rPr>
        <w:t xml:space="preserve">reproduction number </w:t>
      </w:r>
      <w:r>
        <w:rPr>
          <w:rFonts w:ascii="Times New Roman" w:hAnsi="Times New Roman" w:cs="Times New Roman"/>
          <w:i/>
          <w:iCs/>
          <w:sz w:val="24"/>
          <w:szCs w:val="24"/>
        </w:rPr>
        <w:t>R</w:t>
      </w:r>
      <w:r>
        <w:rPr>
          <w:rFonts w:ascii="Times New Roman" w:hAnsi="Times New Roman" w:cs="Times New Roman"/>
          <w:sz w:val="24"/>
          <w:szCs w:val="24"/>
        </w:rPr>
        <w:t xml:space="preserve"> is expressed in the term </w:t>
      </w:r>
      <m:oMath>
        <m:sSub>
          <m:sSubPr>
            <m:ctrlPr>
              <w:rPr>
                <w:rFonts w:ascii="Cambria Math" w:hAnsi="Cambria Math" w:cs="Times New Roman"/>
                <w:i/>
                <w:iCs/>
                <w:sz w:val="24"/>
                <w:szCs w:val="24"/>
              </w:rPr>
            </m:ctrlPr>
          </m:sSubPr>
          <m:e>
            <m:r>
              <w:rPr>
                <w:rFonts w:ascii="Cambria Math" w:eastAsia="Cambria Math" w:hAnsi="Cambria Math" w:cs="Times New Roman"/>
                <w:sz w:val="24"/>
                <w:szCs w:val="24"/>
              </w:rPr>
              <m:t>R</m:t>
            </m:r>
          </m:e>
          <m:sub>
            <m:r>
              <w:rPr>
                <w:rFonts w:ascii="Cambria Math" w:hAnsi="Cambria Math" w:cs="Times New Roman"/>
                <w:sz w:val="24"/>
                <w:szCs w:val="24"/>
              </w:rPr>
              <m:t>i</m:t>
            </m:r>
          </m:sub>
        </m:sSub>
      </m:oMath>
      <w:r>
        <w:rPr>
          <w:rFonts w:ascii="Times New Roman" w:hAnsi="Times New Roman" w:cs="Times New Roman"/>
          <w:sz w:val="24"/>
          <w:szCs w:val="24"/>
        </w:rPr>
        <w:t xml:space="preserve"> through equation (2)</w:t>
      </w:r>
      <w:r>
        <w:rPr>
          <w:rStyle w:val="FootnoteReference"/>
          <w:rFonts w:ascii="Times New Roman" w:hAnsi="Times New Roman" w:cs="Times New Roman"/>
          <w:sz w:val="24"/>
          <w:szCs w:val="24"/>
        </w:rPr>
        <w:footnoteReference w:id="1"/>
      </w:r>
    </w:p>
    <w:p w:rsidR="008A6B28" w:rsidRDefault="00DF2F8E">
      <w:pPr>
        <w:pStyle w:val="FootnoteText"/>
        <w:spacing w:line="360" w:lineRule="auto"/>
        <w:rPr>
          <w:rFonts w:ascii="Times New Roman" w:hAnsi="Times New Roman" w:cs="Times New Roman"/>
          <w:sz w:val="24"/>
          <w:szCs w:val="24"/>
        </w:rPr>
      </w:pPr>
      <w:r>
        <w:rPr>
          <w:rFonts w:ascii="Times New Roman" w:hAnsi="Times New Roman" w:cs="Times New Roman"/>
          <w:sz w:val="24"/>
          <w:szCs w:val="24"/>
        </w:rPr>
        <w:t xml:space="preserve"> </w:t>
      </w:r>
      <m:oMath>
        <m:sSub>
          <m:sSubPr>
            <m:ctrlPr>
              <w:rPr>
                <w:rFonts w:ascii="Cambria Math" w:hAnsi="Cambria Math" w:cs="Times New Roman"/>
                <w:i/>
                <w:iCs/>
                <w:sz w:val="24"/>
                <w:szCs w:val="24"/>
              </w:rPr>
            </m:ctrlPr>
          </m:sSubPr>
          <m:e>
            <m:r>
              <w:rPr>
                <w:rFonts w:ascii="Cambria Math" w:eastAsia="Cambria Math" w:hAnsi="Cambria Math" w:cs="Times New Roman"/>
                <w:sz w:val="24"/>
                <w:szCs w:val="24"/>
              </w:rPr>
              <m:t>R</m:t>
            </m:r>
          </m:e>
          <m:sub>
            <m:r>
              <w:rPr>
                <w:rFonts w:ascii="Cambria Math" w:hAnsi="Cambria Math" w:cs="Times New Roman"/>
                <w:sz w:val="24"/>
                <w:szCs w:val="24"/>
              </w:rPr>
              <m:t>i</m:t>
            </m:r>
          </m:sub>
        </m:sSub>
        <m:r>
          <w:rPr>
            <w:rFonts w:ascii="Cambria Math" w:hAnsi="Cambria Math" w:cs="Times New Roman"/>
            <w:sz w:val="24"/>
            <w:szCs w:val="24"/>
          </w:rPr>
          <m:t>=</m:t>
        </m:r>
        <m:f>
          <m:fPr>
            <m:ctrlPr>
              <w:rPr>
                <w:rFonts w:ascii="Cambria Math" w:hAnsi="Cambria Math" w:cs="Times New Roman"/>
                <w:i/>
                <w:iCs/>
                <w:sz w:val="24"/>
                <w:szCs w:val="24"/>
              </w:rPr>
            </m:ctrlPr>
          </m:fPr>
          <m:num>
            <m:r>
              <w:rPr>
                <w:rFonts w:ascii="Cambria Math" w:hAnsi="Cambria Math" w:cs="Times New Roman"/>
                <w:sz w:val="24"/>
                <w:szCs w:val="24"/>
              </w:rPr>
              <m:t>I(i)</m:t>
            </m:r>
          </m:num>
          <m:den>
            <m:sSubSup>
              <m:sSubSupPr>
                <m:ctrlPr>
                  <w:rPr>
                    <w:rFonts w:ascii="Cambria Math" w:hAnsi="Cambria Math" w:cs="Times New Roman"/>
                    <w:i/>
                    <w:iCs/>
                    <w:sz w:val="24"/>
                    <w:szCs w:val="24"/>
                  </w:rPr>
                </m:ctrlPr>
              </m:sSubSupPr>
              <m:e>
                <m:r>
                  <w:rPr>
                    <w:rFonts w:ascii="Cambria Math" w:hAnsi="Cambria Math" w:cs="Times New Roman"/>
                    <w:sz w:val="24"/>
                    <w:szCs w:val="24"/>
                  </w:rPr>
                  <m:t>I</m:t>
                </m:r>
              </m:e>
              <m:sub>
                <m:r>
                  <w:rPr>
                    <w:rFonts w:ascii="Cambria Math" w:hAnsi="Cambria Math" w:cs="Times New Roman"/>
                    <w:sz w:val="24"/>
                    <w:szCs w:val="24"/>
                  </w:rPr>
                  <m:t>i-n</m:t>
                </m:r>
              </m:sub>
              <m:sup>
                <m:r>
                  <w:rPr>
                    <w:rFonts w:ascii="Cambria Math" w:hAnsi="Cambria Math" w:cs="Times New Roman"/>
                    <w:sz w:val="24"/>
                    <w:szCs w:val="24"/>
                  </w:rPr>
                  <m:t>A</m:t>
                </m:r>
              </m:sup>
            </m:sSubSup>
          </m:den>
        </m:f>
      </m:oMath>
      <w:r>
        <w:rPr>
          <w:rFonts w:ascii="Times New Roman" w:hAnsi="Times New Roman" w:cs="Times New Roman"/>
          <w:sz w:val="24"/>
          <w:szCs w:val="24"/>
        </w:rPr>
        <w:t xml:space="preserve">                                                                                                                                  </w:t>
      </w:r>
      <w:r w:rsidR="00932B96">
        <w:rPr>
          <w:rFonts w:ascii="Times New Roman" w:hAnsi="Times New Roman" w:cs="Times New Roman"/>
          <w:sz w:val="24"/>
          <w:szCs w:val="24"/>
        </w:rPr>
        <w:t xml:space="preserve">   </w:t>
      </w:r>
      <w:r>
        <w:rPr>
          <w:rFonts w:ascii="Times New Roman" w:hAnsi="Times New Roman" w:cs="Times New Roman"/>
          <w:sz w:val="24"/>
          <w:szCs w:val="24"/>
        </w:rPr>
        <w:t xml:space="preserve"> </w:t>
      </w:r>
      <w:r w:rsidR="00140A0F">
        <w:rPr>
          <w:rFonts w:ascii="Times New Roman" w:hAnsi="Times New Roman" w:cs="Times New Roman"/>
          <w:sz w:val="24"/>
          <w:szCs w:val="24"/>
        </w:rPr>
        <w:t xml:space="preserve"> </w:t>
      </w:r>
      <w:r>
        <w:rPr>
          <w:rFonts w:ascii="Times New Roman" w:hAnsi="Times New Roman" w:cs="Times New Roman"/>
          <w:sz w:val="24"/>
          <w:szCs w:val="24"/>
        </w:rPr>
        <w:t xml:space="preserve"> (2)</w:t>
      </w:r>
    </w:p>
    <w:p w:rsidR="00140A0F" w:rsidRDefault="0044360D" w:rsidP="00F51695">
      <w:pPr>
        <w:pStyle w:val="FootnoteText"/>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As </w:t>
      </w:r>
      <w:r w:rsidR="00DF2F8E">
        <w:rPr>
          <w:rFonts w:ascii="Times New Roman" w:hAnsi="Times New Roman" w:cs="Times New Roman"/>
          <w:sz w:val="24"/>
          <w:szCs w:val="24"/>
        </w:rPr>
        <w:t>we</w:t>
      </w:r>
      <w:r>
        <w:rPr>
          <w:rFonts w:ascii="Times New Roman" w:hAnsi="Times New Roman" w:cs="Times New Roman"/>
          <w:sz w:val="24"/>
          <w:szCs w:val="24"/>
        </w:rPr>
        <w:t xml:space="preserve"> are going to </w:t>
      </w:r>
      <w:r w:rsidR="00140A0F">
        <w:rPr>
          <w:rFonts w:ascii="Times New Roman" w:hAnsi="Times New Roman" w:cs="Times New Roman"/>
          <w:sz w:val="24"/>
          <w:szCs w:val="24"/>
        </w:rPr>
        <w:t xml:space="preserve">have a predictive criterion to </w:t>
      </w:r>
      <w:r w:rsidR="00610E79">
        <w:rPr>
          <w:rFonts w:ascii="Times New Roman" w:hAnsi="Times New Roman" w:cs="Times New Roman"/>
          <w:sz w:val="24"/>
          <w:szCs w:val="24"/>
        </w:rPr>
        <w:t>be related to the</w:t>
      </w:r>
      <w:r>
        <w:rPr>
          <w:rFonts w:ascii="Times New Roman" w:hAnsi="Times New Roman" w:cs="Times New Roman"/>
          <w:sz w:val="24"/>
          <w:szCs w:val="24"/>
        </w:rPr>
        <w:t xml:space="preserve"> </w:t>
      </w:r>
      <w:r w:rsidRPr="009872B0">
        <w:rPr>
          <w:rFonts w:ascii="Times New Roman" w:hAnsi="Times New Roman" w:cs="Times New Roman"/>
          <w:sz w:val="24"/>
          <w:szCs w:val="24"/>
        </w:rPr>
        <w:t xml:space="preserve">the </w:t>
      </w:r>
      <w:r w:rsidR="00140A0F">
        <w:rPr>
          <w:rFonts w:ascii="Times New Roman" w:hAnsi="Times New Roman" w:cs="Times New Roman"/>
          <w:sz w:val="24"/>
          <w:szCs w:val="24"/>
        </w:rPr>
        <w:t>local</w:t>
      </w:r>
      <w:r w:rsidRPr="009872B0">
        <w:rPr>
          <w:rFonts w:ascii="Times New Roman" w:hAnsi="Times New Roman" w:cs="Times New Roman"/>
          <w:sz w:val="24"/>
          <w:szCs w:val="24"/>
        </w:rPr>
        <w:t xml:space="preserve"> effect of </w:t>
      </w:r>
      <w:r>
        <w:rPr>
          <w:rFonts w:ascii="Times New Roman" w:hAnsi="Times New Roman" w:cs="Times New Roman"/>
          <w:sz w:val="24"/>
          <w:szCs w:val="24"/>
        </w:rPr>
        <w:t>each NPI</w:t>
      </w:r>
      <w:r w:rsidR="00140A0F">
        <w:rPr>
          <w:rFonts w:ascii="Times New Roman" w:hAnsi="Times New Roman" w:cs="Times New Roman"/>
          <w:sz w:val="24"/>
          <w:szCs w:val="24"/>
        </w:rPr>
        <w:t xml:space="preserve"> at each</w:t>
      </w:r>
      <w:r w:rsidRPr="009872B0">
        <w:rPr>
          <w:rFonts w:ascii="Times New Roman" w:hAnsi="Times New Roman" w:cs="Times New Roman"/>
          <w:sz w:val="24"/>
          <w:szCs w:val="24"/>
        </w:rPr>
        <w:t xml:space="preserve"> arbitrary day </w:t>
      </w:r>
      <w:proofErr w:type="spellStart"/>
      <w:r w:rsidR="00F51695">
        <w:rPr>
          <w:rFonts w:ascii="Times New Roman" w:hAnsi="Times New Roman" w:cs="Times New Roman"/>
          <w:i/>
          <w:iCs/>
          <w:sz w:val="24"/>
          <w:szCs w:val="24"/>
        </w:rPr>
        <w:t>i</w:t>
      </w:r>
      <w:proofErr w:type="spellEnd"/>
      <w:r w:rsidR="00F51695">
        <w:rPr>
          <w:rFonts w:ascii="Times New Roman" w:hAnsi="Times New Roman" w:cs="Times New Roman"/>
          <w:sz w:val="24"/>
          <w:szCs w:val="24"/>
        </w:rPr>
        <w:t xml:space="preserve"> </w:t>
      </w:r>
      <w:r w:rsidR="00140A0F">
        <w:rPr>
          <w:rFonts w:ascii="Times New Roman" w:hAnsi="Times New Roman" w:cs="Times New Roman"/>
          <w:sz w:val="24"/>
          <w:szCs w:val="24"/>
        </w:rPr>
        <w:t>in hand,</w:t>
      </w:r>
      <w:r>
        <w:rPr>
          <w:rFonts w:ascii="Times New Roman" w:hAnsi="Times New Roman" w:cs="Times New Roman"/>
          <w:sz w:val="24"/>
          <w:szCs w:val="24"/>
        </w:rPr>
        <w:t xml:space="preserve"> we </w:t>
      </w:r>
      <w:r w:rsidR="00140A0F">
        <w:rPr>
          <w:rFonts w:ascii="Times New Roman" w:hAnsi="Times New Roman" w:cs="Times New Roman"/>
          <w:sz w:val="24"/>
          <w:szCs w:val="24"/>
        </w:rPr>
        <w:t>replace</w:t>
      </w:r>
      <w:r>
        <w:rPr>
          <w:rFonts w:ascii="Times New Roman" w:hAnsi="Times New Roman" w:cs="Times New Roman"/>
          <w:sz w:val="24"/>
          <w:szCs w:val="24"/>
        </w:rPr>
        <w:t xml:space="preserve"> the </w:t>
      </w:r>
      <w:r w:rsidR="00140A0F">
        <w:rPr>
          <w:rFonts w:ascii="Times New Roman" w:hAnsi="Times New Roman" w:cs="Times New Roman"/>
          <w:sz w:val="24"/>
          <w:szCs w:val="24"/>
        </w:rPr>
        <w:t xml:space="preserve">numerator term of the equation 2 by a weekly </w:t>
      </w:r>
      <w:r w:rsidR="00140A0F" w:rsidRPr="00140A0F">
        <w:rPr>
          <w:rFonts w:ascii="Times New Roman" w:hAnsi="Times New Roman" w:cs="Times New Roman"/>
          <w:i/>
          <w:iCs/>
          <w:sz w:val="24"/>
          <w:szCs w:val="24"/>
        </w:rPr>
        <w:t>forward</w:t>
      </w:r>
      <w:r w:rsidR="00140A0F">
        <w:rPr>
          <w:rFonts w:ascii="Times New Roman" w:hAnsi="Times New Roman" w:cs="Times New Roman"/>
          <w:sz w:val="24"/>
          <w:szCs w:val="24"/>
        </w:rPr>
        <w:t xml:space="preserve"> looking average as is articulated by the incidence </w:t>
      </w:r>
      <m:oMath>
        <m:sSubSup>
          <m:sSubSupPr>
            <m:ctrlPr>
              <w:rPr>
                <w:rFonts w:ascii="Cambria Math" w:hAnsi="Cambria Math" w:cs="Times New Roman"/>
                <w:i/>
                <w:iCs/>
                <w:sz w:val="24"/>
                <w:szCs w:val="24"/>
              </w:rPr>
            </m:ctrlPr>
          </m:sSubSupPr>
          <m:e>
            <m:r>
              <w:rPr>
                <w:rFonts w:ascii="Cambria Math" w:hAnsi="Cambria Math" w:cs="Times New Roman"/>
                <w:sz w:val="24"/>
                <w:szCs w:val="24"/>
              </w:rPr>
              <m:t>I</m:t>
            </m:r>
          </m:e>
          <m:sub>
            <m:r>
              <w:rPr>
                <w:rFonts w:ascii="Cambria Math" w:hAnsi="Cambria Math" w:cs="Times New Roman"/>
                <w:sz w:val="24"/>
                <w:szCs w:val="24"/>
              </w:rPr>
              <m:t>i+n</m:t>
            </m:r>
          </m:sub>
          <m:sup>
            <m:r>
              <w:rPr>
                <w:rFonts w:ascii="Cambria Math" w:hAnsi="Cambria Math" w:cs="Times New Roman"/>
                <w:sz w:val="24"/>
                <w:szCs w:val="24"/>
              </w:rPr>
              <m:t>A</m:t>
            </m:r>
          </m:sup>
        </m:sSubSup>
        <m:r>
          <w:rPr>
            <w:rFonts w:ascii="Cambria Math" w:hAnsi="Cambria Math" w:cs="Times New Roman"/>
            <w:sz w:val="24"/>
            <w:szCs w:val="24"/>
          </w:rPr>
          <m:t xml:space="preserve"> </m:t>
        </m:r>
      </m:oMath>
      <w:r w:rsidR="00140A0F">
        <w:rPr>
          <w:rFonts w:ascii="Times New Roman" w:hAnsi="Times New Roman" w:cs="Times New Roman"/>
          <w:sz w:val="24"/>
          <w:szCs w:val="24"/>
        </w:rPr>
        <w:t xml:space="preserve">presented in the equation (3): </w:t>
      </w:r>
    </w:p>
    <w:p w:rsidR="00140A0F" w:rsidRDefault="00681696" w:rsidP="00140A0F">
      <w:pPr>
        <w:pStyle w:val="FootnoteText"/>
        <w:spacing w:line="360" w:lineRule="auto"/>
        <w:rPr>
          <w:rFonts w:ascii="Times New Roman" w:hAnsi="Times New Roman" w:cs="Times New Roman"/>
          <w:sz w:val="24"/>
          <w:szCs w:val="24"/>
        </w:rPr>
      </w:pPr>
      <m:oMath>
        <m:sSubSup>
          <m:sSubSupPr>
            <m:ctrlPr>
              <w:rPr>
                <w:rFonts w:ascii="Cambria Math" w:hAnsi="Cambria Math" w:cs="Times New Roman"/>
                <w:i/>
                <w:iCs/>
                <w:sz w:val="24"/>
                <w:szCs w:val="24"/>
              </w:rPr>
            </m:ctrlPr>
          </m:sSubSupPr>
          <m:e>
            <m:r>
              <w:rPr>
                <w:rFonts w:ascii="Cambria Math" w:hAnsi="Cambria Math" w:cs="Times New Roman"/>
                <w:sz w:val="24"/>
                <w:szCs w:val="24"/>
              </w:rPr>
              <m:t>I</m:t>
            </m:r>
          </m:e>
          <m:sub>
            <m:r>
              <w:rPr>
                <w:rFonts w:ascii="Cambria Math" w:hAnsi="Cambria Math" w:cs="Times New Roman"/>
                <w:sz w:val="24"/>
                <w:szCs w:val="24"/>
              </w:rPr>
              <m:t>i+n</m:t>
            </m:r>
          </m:sub>
          <m:sup>
            <m:r>
              <w:rPr>
                <w:rFonts w:ascii="Cambria Math" w:hAnsi="Cambria Math" w:cs="Times New Roman"/>
                <w:sz w:val="24"/>
                <w:szCs w:val="24"/>
              </w:rPr>
              <m:t>A</m:t>
            </m:r>
          </m:sup>
        </m:sSubSup>
        <m:r>
          <w:rPr>
            <w:rFonts w:ascii="Cambria Math" w:hAnsi="Cambria Math" w:cs="Times New Roman"/>
            <w:sz w:val="24"/>
            <w:szCs w:val="24"/>
          </w:rPr>
          <m:t>=</m:t>
        </m:r>
        <m:f>
          <m:fPr>
            <m:ctrlPr>
              <w:rPr>
                <w:rFonts w:ascii="Cambria Math" w:hAnsi="Cambria Math" w:cs="Times New Roman"/>
                <w:i/>
                <w:iCs/>
                <w:sz w:val="24"/>
                <w:szCs w:val="24"/>
              </w:rPr>
            </m:ctrlPr>
          </m:fPr>
          <m:num>
            <m:nary>
              <m:naryPr>
                <m:chr m:val="∑"/>
                <m:limLoc m:val="undOvr"/>
                <m:ctrlPr>
                  <w:rPr>
                    <w:rFonts w:ascii="Cambria Math" w:hAnsi="Cambria Math" w:cs="Times New Roman"/>
                    <w:i/>
                    <w:iCs/>
                    <w:sz w:val="24"/>
                    <w:szCs w:val="24"/>
                  </w:rPr>
                </m:ctrlPr>
              </m:naryPr>
              <m:sub>
                <m:r>
                  <w:rPr>
                    <w:rFonts w:ascii="Cambria Math" w:hAnsi="Cambria Math" w:cs="Times New Roman"/>
                    <w:sz w:val="24"/>
                    <w:szCs w:val="24"/>
                  </w:rPr>
                  <m:t>j=i+1</m:t>
                </m:r>
              </m:sub>
              <m:sup>
                <m:r>
                  <w:rPr>
                    <w:rFonts w:ascii="Cambria Math" w:hAnsi="Cambria Math" w:cs="Times New Roman"/>
                    <w:sz w:val="24"/>
                    <w:szCs w:val="24"/>
                  </w:rPr>
                  <m:t>i+n</m:t>
                </m:r>
              </m:sup>
              <m:e>
                <m:r>
                  <w:rPr>
                    <w:rFonts w:ascii="Cambria Math" w:hAnsi="Cambria Math" w:cs="Times New Roman"/>
                    <w:sz w:val="24"/>
                    <w:szCs w:val="24"/>
                  </w:rPr>
                  <m:t>I(j)</m:t>
                </m:r>
              </m:e>
            </m:nary>
          </m:num>
          <m:den>
            <m:r>
              <w:rPr>
                <w:rFonts w:ascii="Cambria Math" w:hAnsi="Cambria Math" w:cs="Times New Roman"/>
                <w:sz w:val="24"/>
                <w:szCs w:val="24"/>
              </w:rPr>
              <m:t>n</m:t>
            </m:r>
          </m:den>
        </m:f>
      </m:oMath>
      <w:r w:rsidR="00140A0F">
        <w:rPr>
          <w:rFonts w:ascii="Times New Roman" w:hAnsi="Times New Roman" w:cs="Times New Roman"/>
          <w:sz w:val="24"/>
          <w:szCs w:val="24"/>
        </w:rPr>
        <w:t xml:space="preserve">, n=7                                                                                                                  </w:t>
      </w:r>
      <w:proofErr w:type="gramStart"/>
      <w:r w:rsidR="00140A0F">
        <w:rPr>
          <w:rFonts w:ascii="Times New Roman" w:hAnsi="Times New Roman" w:cs="Times New Roman"/>
          <w:sz w:val="24"/>
          <w:szCs w:val="24"/>
        </w:rPr>
        <w:t xml:space="preserve">   (</w:t>
      </w:r>
      <w:proofErr w:type="gramEnd"/>
      <w:r w:rsidR="00140A0F">
        <w:rPr>
          <w:rFonts w:ascii="Times New Roman" w:hAnsi="Times New Roman" w:cs="Times New Roman"/>
          <w:sz w:val="24"/>
          <w:szCs w:val="24"/>
        </w:rPr>
        <w:t>3)</w:t>
      </w:r>
    </w:p>
    <w:p w:rsidR="00140A0F" w:rsidRDefault="00140A0F" w:rsidP="00140A0F">
      <w:pPr>
        <w:pStyle w:val="FootnoteText"/>
        <w:spacing w:line="360" w:lineRule="auto"/>
        <w:jc w:val="both"/>
        <w:rPr>
          <w:rFonts w:ascii="Times New Roman" w:hAnsi="Times New Roman" w:cs="Times New Roman"/>
          <w:sz w:val="24"/>
          <w:szCs w:val="24"/>
        </w:rPr>
      </w:pPr>
      <w:r>
        <w:rPr>
          <w:rFonts w:ascii="Times New Roman" w:hAnsi="Times New Roman" w:cs="Times New Roman"/>
          <w:sz w:val="24"/>
          <w:szCs w:val="24"/>
        </w:rPr>
        <w:t>And reformulate the equation (2) in equation (4):</w:t>
      </w:r>
    </w:p>
    <w:p w:rsidR="00140A0F" w:rsidRDefault="00681696" w:rsidP="00140A0F">
      <w:pPr>
        <w:pStyle w:val="FootnoteText"/>
        <w:spacing w:line="360" w:lineRule="auto"/>
        <w:jc w:val="both"/>
        <w:rPr>
          <w:rFonts w:ascii="Times New Roman" w:hAnsi="Times New Roman" w:cs="Times New Roman"/>
          <w:iCs/>
          <w:sz w:val="24"/>
          <w:szCs w:val="24"/>
        </w:rPr>
      </w:pPr>
      <m:oMath>
        <m:sSub>
          <m:sSubPr>
            <m:ctrlPr>
              <w:rPr>
                <w:rFonts w:ascii="Cambria Math" w:hAnsi="Cambria Math" w:cs="Times New Roman"/>
                <w:i/>
                <w:iCs/>
                <w:sz w:val="24"/>
                <w:szCs w:val="24"/>
              </w:rPr>
            </m:ctrlPr>
          </m:sSubPr>
          <m:e>
            <m:r>
              <w:rPr>
                <w:rFonts w:ascii="Cambria Math" w:eastAsia="Cambria Math" w:hAnsi="Cambria Math" w:cs="Times New Roman"/>
                <w:sz w:val="24"/>
                <w:szCs w:val="24"/>
              </w:rPr>
              <m:t>R</m:t>
            </m:r>
          </m:e>
          <m:sub>
            <m:r>
              <w:rPr>
                <w:rFonts w:ascii="Cambria Math" w:hAnsi="Cambria Math" w:cs="Times New Roman"/>
                <w:sz w:val="24"/>
                <w:szCs w:val="24"/>
              </w:rPr>
              <m:t>i</m:t>
            </m:r>
          </m:sub>
        </m:sSub>
        <m:r>
          <w:rPr>
            <w:rFonts w:ascii="Cambria Math" w:hAnsi="Cambria Math" w:cs="Times New Roman"/>
            <w:sz w:val="24"/>
            <w:szCs w:val="24"/>
          </w:rPr>
          <m:t>=</m:t>
        </m:r>
        <m:f>
          <m:fPr>
            <m:ctrlPr>
              <w:rPr>
                <w:rFonts w:ascii="Cambria Math" w:hAnsi="Cambria Math" w:cs="Times New Roman"/>
                <w:i/>
                <w:iCs/>
                <w:sz w:val="24"/>
                <w:szCs w:val="24"/>
              </w:rPr>
            </m:ctrlPr>
          </m:fPr>
          <m:num>
            <m:sSubSup>
              <m:sSubSupPr>
                <m:ctrlPr>
                  <w:rPr>
                    <w:rFonts w:ascii="Cambria Math" w:hAnsi="Cambria Math" w:cs="Times New Roman"/>
                    <w:i/>
                    <w:iCs/>
                    <w:sz w:val="24"/>
                    <w:szCs w:val="24"/>
                  </w:rPr>
                </m:ctrlPr>
              </m:sSubSupPr>
              <m:e>
                <m:r>
                  <w:rPr>
                    <w:rFonts w:ascii="Cambria Math" w:hAnsi="Cambria Math" w:cs="Times New Roman"/>
                    <w:sz w:val="24"/>
                    <w:szCs w:val="24"/>
                  </w:rPr>
                  <m:t>I</m:t>
                </m:r>
              </m:e>
              <m:sub>
                <m:r>
                  <w:rPr>
                    <w:rFonts w:ascii="Cambria Math" w:hAnsi="Cambria Math" w:cs="Times New Roman"/>
                    <w:sz w:val="24"/>
                    <w:szCs w:val="24"/>
                  </w:rPr>
                  <m:t>i+n</m:t>
                </m:r>
              </m:sub>
              <m:sup>
                <m:r>
                  <w:rPr>
                    <w:rFonts w:ascii="Cambria Math" w:hAnsi="Cambria Math" w:cs="Times New Roman"/>
                    <w:sz w:val="24"/>
                    <w:szCs w:val="24"/>
                  </w:rPr>
                  <m:t>A</m:t>
                </m:r>
              </m:sup>
            </m:sSubSup>
          </m:num>
          <m:den>
            <m:sSubSup>
              <m:sSubSupPr>
                <m:ctrlPr>
                  <w:rPr>
                    <w:rFonts w:ascii="Cambria Math" w:hAnsi="Cambria Math" w:cs="Times New Roman"/>
                    <w:i/>
                    <w:iCs/>
                    <w:sz w:val="24"/>
                    <w:szCs w:val="24"/>
                  </w:rPr>
                </m:ctrlPr>
              </m:sSubSupPr>
              <m:e>
                <m:r>
                  <w:rPr>
                    <w:rFonts w:ascii="Cambria Math" w:hAnsi="Cambria Math" w:cs="Times New Roman"/>
                    <w:sz w:val="24"/>
                    <w:szCs w:val="24"/>
                  </w:rPr>
                  <m:t>I</m:t>
                </m:r>
              </m:e>
              <m:sub>
                <m:r>
                  <w:rPr>
                    <w:rFonts w:ascii="Cambria Math" w:hAnsi="Cambria Math" w:cs="Times New Roman"/>
                    <w:sz w:val="24"/>
                    <w:szCs w:val="24"/>
                  </w:rPr>
                  <m:t>i-n</m:t>
                </m:r>
              </m:sub>
              <m:sup>
                <m:r>
                  <w:rPr>
                    <w:rFonts w:ascii="Cambria Math" w:hAnsi="Cambria Math" w:cs="Times New Roman"/>
                    <w:sz w:val="24"/>
                    <w:szCs w:val="24"/>
                  </w:rPr>
                  <m:t>A</m:t>
                </m:r>
              </m:sup>
            </m:sSubSup>
          </m:den>
        </m:f>
      </m:oMath>
      <w:r w:rsidR="00140A0F">
        <w:rPr>
          <w:rFonts w:ascii="Times New Roman" w:hAnsi="Times New Roman" w:cs="Times New Roman"/>
          <w:iCs/>
          <w:sz w:val="24"/>
          <w:szCs w:val="24"/>
        </w:rPr>
        <w:t xml:space="preserve">                                                                                                                             </w:t>
      </w:r>
      <w:r w:rsidR="00932B96">
        <w:rPr>
          <w:rFonts w:ascii="Times New Roman" w:hAnsi="Times New Roman" w:cs="Times New Roman"/>
          <w:iCs/>
          <w:sz w:val="24"/>
          <w:szCs w:val="24"/>
        </w:rPr>
        <w:t xml:space="preserve">     </w:t>
      </w:r>
      <w:r w:rsidR="00140A0F">
        <w:rPr>
          <w:rFonts w:ascii="Times New Roman" w:hAnsi="Times New Roman" w:cs="Times New Roman"/>
          <w:iCs/>
          <w:sz w:val="24"/>
          <w:szCs w:val="24"/>
        </w:rPr>
        <w:t xml:space="preserve">            (4)</w:t>
      </w:r>
    </w:p>
    <w:p w:rsidR="00140A0F" w:rsidRPr="00140A0F" w:rsidRDefault="00140A0F" w:rsidP="00932B96">
      <w:pPr>
        <w:pStyle w:val="FootnoteText"/>
        <w:spacing w:line="360" w:lineRule="auto"/>
        <w:jc w:val="both"/>
        <w:rPr>
          <w:rFonts w:ascii="Times New Roman" w:hAnsi="Times New Roman" w:cs="Times New Roman"/>
          <w:sz w:val="24"/>
          <w:szCs w:val="24"/>
        </w:rPr>
      </w:pPr>
      <w:r>
        <w:rPr>
          <w:rFonts w:ascii="Times New Roman" w:hAnsi="Times New Roman" w:cs="Times New Roman"/>
          <w:sz w:val="24"/>
          <w:szCs w:val="24"/>
        </w:rPr>
        <w:t>In addition, we work with a simple transformed version of equation 4</w:t>
      </w:r>
      <w:r w:rsidR="00932B96">
        <w:rPr>
          <w:rFonts w:ascii="Times New Roman" w:hAnsi="Times New Roman" w:cs="Times New Roman"/>
          <w:sz w:val="24"/>
          <w:szCs w:val="24"/>
        </w:rPr>
        <w:t xml:space="preserve">, which expresses </w:t>
      </w:r>
      <w:r w:rsidR="00932B96">
        <w:rPr>
          <w:rStyle w:val="markedcontent"/>
          <w:rFonts w:ascii="Times New Roman" w:hAnsi="Times New Roman" w:cs="Times New Roman"/>
          <w:sz w:val="24"/>
          <w:szCs w:val="24"/>
        </w:rPr>
        <w:t xml:space="preserve">the </w:t>
      </w:r>
      <w:r w:rsidR="00932B96">
        <w:rPr>
          <w:rStyle w:val="markedcontent"/>
          <w:rFonts w:ascii="Times New Roman" w:hAnsi="Times New Roman" w:cs="Times New Roman"/>
          <w:i/>
          <w:iCs/>
          <w:sz w:val="24"/>
          <w:szCs w:val="24"/>
        </w:rPr>
        <w:t xml:space="preserve">growth rate </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oMath>
      <w:r w:rsidR="00932B96">
        <w:rPr>
          <w:rStyle w:val="markedcontent"/>
          <w:rFonts w:ascii="Times New Roman" w:hAnsi="Times New Roman" w:cs="Times New Roman"/>
          <w:sz w:val="24"/>
          <w:szCs w:val="24"/>
        </w:rPr>
        <w:t xml:space="preserve"> of the pandemic</w:t>
      </w:r>
      <w:r w:rsidR="00932B96">
        <w:rPr>
          <w:rFonts w:ascii="Times New Roman" w:hAnsi="Times New Roman" w:cs="Times New Roman"/>
          <w:sz w:val="24"/>
          <w:szCs w:val="24"/>
        </w:rPr>
        <w:t xml:space="preserve"> as </w:t>
      </w:r>
      <w:r>
        <w:rPr>
          <w:rFonts w:ascii="Times New Roman" w:hAnsi="Times New Roman" w:cs="Times New Roman"/>
          <w:sz w:val="24"/>
          <w:szCs w:val="24"/>
        </w:rPr>
        <w:t xml:space="preserve">a relative </w:t>
      </w:r>
      <w:r w:rsidR="00932B96">
        <w:rPr>
          <w:rFonts w:ascii="Times New Roman" w:hAnsi="Times New Roman" w:cs="Times New Roman"/>
          <w:sz w:val="24"/>
          <w:szCs w:val="24"/>
        </w:rPr>
        <w:t>indicator for</w:t>
      </w:r>
      <w:r>
        <w:rPr>
          <w:rFonts w:ascii="Times New Roman" w:hAnsi="Times New Roman" w:cs="Times New Roman"/>
          <w:sz w:val="24"/>
          <w:szCs w:val="24"/>
        </w:rPr>
        <w:t xml:space="preserve"> </w:t>
      </w:r>
      <w:r w:rsidRPr="00932B96">
        <w:rPr>
          <w:rFonts w:ascii="Times New Roman" w:hAnsi="Times New Roman" w:cs="Times New Roman"/>
          <w:i/>
          <w:iCs/>
          <w:sz w:val="24"/>
          <w:szCs w:val="24"/>
        </w:rPr>
        <w:t>changing</w:t>
      </w:r>
      <w:r>
        <w:rPr>
          <w:rFonts w:ascii="Times New Roman" w:hAnsi="Times New Roman" w:cs="Times New Roman"/>
          <w:sz w:val="24"/>
          <w:szCs w:val="24"/>
        </w:rPr>
        <w:t xml:space="preserve"> </w:t>
      </w:r>
      <w:r w:rsidR="00932B96">
        <w:rPr>
          <w:rFonts w:ascii="Times New Roman" w:hAnsi="Times New Roman" w:cs="Times New Roman"/>
          <w:sz w:val="24"/>
          <w:szCs w:val="24"/>
        </w:rPr>
        <w:t>the reported infection numbers, as described in equation (5</w:t>
      </w:r>
      <w:r>
        <w:rPr>
          <w:rFonts w:ascii="Times New Roman" w:hAnsi="Times New Roman" w:cs="Times New Roman"/>
          <w:sz w:val="24"/>
          <w:szCs w:val="24"/>
        </w:rPr>
        <w:t>):</w:t>
      </w:r>
    </w:p>
    <w:p w:rsidR="008A6B28" w:rsidRDefault="00681696" w:rsidP="00932B96">
      <w:pPr>
        <w:pStyle w:val="FootnoteText"/>
        <w:spacing w:line="360" w:lineRule="auto"/>
        <w:rPr>
          <w:rFonts w:ascii="Times New Roman" w:hAnsi="Times New Roman" w:cs="Times New Roman"/>
          <w:sz w:val="24"/>
          <w:szCs w:val="24"/>
        </w:rPr>
      </w:pPr>
      <m:oMath>
        <m:sSub>
          <m:sSubPr>
            <m:ctrlPr>
              <w:rPr>
                <w:rFonts w:ascii="Cambria Math" w:hAnsi="Cambria Math" w:cs="Times New Roman"/>
                <w:i/>
                <w:iCs/>
                <w:sz w:val="24"/>
                <w:szCs w:val="24"/>
              </w:rPr>
            </m:ctrlPr>
          </m:sSubPr>
          <m:e>
            <m:r>
              <w:rPr>
                <w:rFonts w:ascii="Cambria Math" w:hAnsi="Cambria Math" w:cs="Times New Roman"/>
                <w:sz w:val="24"/>
                <w:szCs w:val="24"/>
              </w:rPr>
              <m:t>∂</m:t>
            </m:r>
          </m:e>
          <m:sub>
            <m:r>
              <w:rPr>
                <w:rFonts w:ascii="Cambria Math" w:hAnsi="Cambria Math" w:cs="Times New Roman"/>
                <w:sz w:val="24"/>
                <w:szCs w:val="24"/>
              </w:rPr>
              <m:t>i</m:t>
            </m:r>
          </m:sub>
        </m:sSub>
        <m:r>
          <w:rPr>
            <w:rFonts w:ascii="Cambria Math" w:hAnsi="Cambria Math" w:cs="Times New Roman"/>
            <w:sz w:val="24"/>
            <w:szCs w:val="24"/>
          </w:rPr>
          <m:t>=</m:t>
        </m:r>
        <m:f>
          <m:fPr>
            <m:ctrlPr>
              <w:rPr>
                <w:rFonts w:ascii="Cambria Math" w:hAnsi="Cambria Math" w:cs="Times New Roman"/>
                <w:i/>
                <w:iCs/>
                <w:sz w:val="24"/>
                <w:szCs w:val="24"/>
              </w:rPr>
            </m:ctrlPr>
          </m:fPr>
          <m:num>
            <m:sSubSup>
              <m:sSubSupPr>
                <m:ctrlPr>
                  <w:rPr>
                    <w:rFonts w:ascii="Cambria Math" w:hAnsi="Cambria Math" w:cs="Times New Roman"/>
                    <w:i/>
                    <w:iCs/>
                    <w:sz w:val="24"/>
                    <w:szCs w:val="24"/>
                  </w:rPr>
                </m:ctrlPr>
              </m:sSubSupPr>
              <m:e>
                <m:r>
                  <w:rPr>
                    <w:rFonts w:ascii="Cambria Math" w:hAnsi="Cambria Math" w:cs="Times New Roman"/>
                    <w:sz w:val="24"/>
                    <w:szCs w:val="24"/>
                  </w:rPr>
                  <m:t>I</m:t>
                </m:r>
              </m:e>
              <m:sub>
                <m:r>
                  <w:rPr>
                    <w:rFonts w:ascii="Cambria Math" w:hAnsi="Cambria Math" w:cs="Times New Roman"/>
                    <w:sz w:val="24"/>
                    <w:szCs w:val="24"/>
                  </w:rPr>
                  <m:t>i+n</m:t>
                </m:r>
              </m:sub>
              <m:sup>
                <m:r>
                  <w:rPr>
                    <w:rFonts w:ascii="Cambria Math" w:hAnsi="Cambria Math" w:cs="Times New Roman"/>
                    <w:sz w:val="24"/>
                    <w:szCs w:val="24"/>
                  </w:rPr>
                  <m:t>A</m:t>
                </m:r>
              </m:sup>
            </m:sSubSup>
            <m:r>
              <w:rPr>
                <w:rFonts w:ascii="Cambria Math" w:hAnsi="Cambria Math" w:cs="Times New Roman"/>
                <w:sz w:val="24"/>
                <w:szCs w:val="24"/>
              </w:rPr>
              <m:t>-</m:t>
            </m:r>
            <m:sSubSup>
              <m:sSubSupPr>
                <m:ctrlPr>
                  <w:rPr>
                    <w:rFonts w:ascii="Cambria Math" w:hAnsi="Cambria Math" w:cs="Times New Roman"/>
                    <w:i/>
                    <w:iCs/>
                    <w:sz w:val="24"/>
                    <w:szCs w:val="24"/>
                  </w:rPr>
                </m:ctrlPr>
              </m:sSubSupPr>
              <m:e>
                <m:r>
                  <w:rPr>
                    <w:rFonts w:ascii="Cambria Math" w:hAnsi="Cambria Math" w:cs="Times New Roman"/>
                    <w:sz w:val="24"/>
                    <w:szCs w:val="24"/>
                  </w:rPr>
                  <m:t>I</m:t>
                </m:r>
              </m:e>
              <m:sub>
                <m:r>
                  <w:rPr>
                    <w:rFonts w:ascii="Cambria Math" w:hAnsi="Cambria Math" w:cs="Times New Roman"/>
                    <w:sz w:val="24"/>
                    <w:szCs w:val="24"/>
                  </w:rPr>
                  <m:t>i-n</m:t>
                </m:r>
              </m:sub>
              <m:sup>
                <m:r>
                  <w:rPr>
                    <w:rFonts w:ascii="Cambria Math" w:hAnsi="Cambria Math" w:cs="Times New Roman"/>
                    <w:sz w:val="24"/>
                    <w:szCs w:val="24"/>
                  </w:rPr>
                  <m:t>A</m:t>
                </m:r>
              </m:sup>
            </m:sSubSup>
          </m:num>
          <m:den>
            <m:sSubSup>
              <m:sSubSupPr>
                <m:ctrlPr>
                  <w:rPr>
                    <w:rFonts w:ascii="Cambria Math" w:hAnsi="Cambria Math" w:cs="Times New Roman"/>
                    <w:i/>
                    <w:iCs/>
                    <w:sz w:val="24"/>
                    <w:szCs w:val="24"/>
                  </w:rPr>
                </m:ctrlPr>
              </m:sSubSupPr>
              <m:e>
                <m:r>
                  <w:rPr>
                    <w:rFonts w:ascii="Cambria Math" w:hAnsi="Cambria Math" w:cs="Times New Roman"/>
                    <w:sz w:val="24"/>
                    <w:szCs w:val="24"/>
                  </w:rPr>
                  <m:t>I</m:t>
                </m:r>
              </m:e>
              <m:sub>
                <m:r>
                  <w:rPr>
                    <w:rFonts w:ascii="Cambria Math" w:hAnsi="Cambria Math" w:cs="Times New Roman"/>
                    <w:sz w:val="24"/>
                    <w:szCs w:val="24"/>
                  </w:rPr>
                  <m:t>i-n</m:t>
                </m:r>
              </m:sub>
              <m:sup>
                <m:r>
                  <w:rPr>
                    <w:rFonts w:ascii="Cambria Math" w:hAnsi="Cambria Math" w:cs="Times New Roman"/>
                    <w:sz w:val="24"/>
                    <w:szCs w:val="24"/>
                  </w:rPr>
                  <m:t>A</m:t>
                </m:r>
              </m:sup>
            </m:sSubSup>
          </m:den>
        </m:f>
      </m:oMath>
      <w:r w:rsidR="00DF2F8E">
        <w:rPr>
          <w:rFonts w:ascii="Times New Roman" w:hAnsi="Times New Roman" w:cs="Times New Roman"/>
          <w:i/>
          <w:iCs/>
          <w:sz w:val="24"/>
          <w:szCs w:val="24"/>
        </w:rPr>
        <w:t xml:space="preserve"> =</w:t>
      </w:r>
      <m:oMath>
        <m:sSub>
          <m:sSubPr>
            <m:ctrlPr>
              <w:rPr>
                <w:rFonts w:ascii="Cambria Math" w:hAnsi="Cambria Math" w:cs="Times New Roman"/>
                <w:i/>
                <w:iCs/>
                <w:sz w:val="24"/>
                <w:szCs w:val="24"/>
              </w:rPr>
            </m:ctrlPr>
          </m:sSubPr>
          <m:e>
            <m:r>
              <w:rPr>
                <w:rFonts w:ascii="Cambria Math" w:eastAsia="Cambria Math" w:hAnsi="Cambria Math" w:cs="Times New Roman"/>
                <w:sz w:val="24"/>
                <w:szCs w:val="24"/>
              </w:rPr>
              <m:t>R</m:t>
            </m:r>
          </m:e>
          <m:sub>
            <m:r>
              <w:rPr>
                <w:rFonts w:ascii="Cambria Math" w:hAnsi="Cambria Math" w:cs="Times New Roman"/>
                <w:sz w:val="24"/>
                <w:szCs w:val="24"/>
              </w:rPr>
              <m:t>i</m:t>
            </m:r>
          </m:sub>
        </m:sSub>
        <m:r>
          <w:rPr>
            <w:rFonts w:ascii="Cambria Math" w:eastAsia="Cambria Math" w:hAnsi="Cambria Math" w:cs="Times New Roman"/>
            <w:sz w:val="24"/>
            <w:szCs w:val="24"/>
          </w:rPr>
          <m:t>-1</m:t>
        </m:r>
      </m:oMath>
      <w:r w:rsidR="00DF2F8E">
        <w:rPr>
          <w:rFonts w:ascii="Times New Roman" w:hAnsi="Times New Roman" w:cs="Times New Roman"/>
          <w:sz w:val="24"/>
          <w:szCs w:val="24"/>
        </w:rPr>
        <w:t xml:space="preserve">            </w:t>
      </w:r>
      <w:r w:rsidR="00932B96">
        <w:rPr>
          <w:rFonts w:ascii="Times New Roman" w:hAnsi="Times New Roman" w:cs="Times New Roman"/>
          <w:sz w:val="24"/>
          <w:szCs w:val="24"/>
        </w:rPr>
        <w:t xml:space="preserve">      </w:t>
      </w:r>
      <w:r w:rsidR="00DF2F8E">
        <w:rPr>
          <w:rFonts w:ascii="Times New Roman" w:hAnsi="Times New Roman" w:cs="Times New Roman"/>
          <w:sz w:val="24"/>
          <w:szCs w:val="24"/>
        </w:rPr>
        <w:t xml:space="preserve">                                                                   </w:t>
      </w:r>
      <w:r w:rsidR="00932B96">
        <w:rPr>
          <w:rFonts w:ascii="Times New Roman" w:hAnsi="Times New Roman" w:cs="Times New Roman"/>
          <w:sz w:val="24"/>
          <w:szCs w:val="24"/>
        </w:rPr>
        <w:t xml:space="preserve">                              (5</w:t>
      </w:r>
      <w:r w:rsidR="00DF2F8E">
        <w:rPr>
          <w:rFonts w:ascii="Times New Roman" w:hAnsi="Times New Roman" w:cs="Times New Roman"/>
          <w:sz w:val="24"/>
          <w:szCs w:val="24"/>
        </w:rPr>
        <w:t>)</w:t>
      </w:r>
    </w:p>
    <w:p w:rsidR="008A6B28" w:rsidRDefault="00681696" w:rsidP="00D072E8">
      <w:pPr>
        <w:pStyle w:val="FootnoteText"/>
        <w:spacing w:line="360" w:lineRule="auto"/>
        <w:jc w:val="both"/>
        <w:rPr>
          <w:rFonts w:ascii="Times New Roman" w:hAnsi="Times New Roman" w:cs="Times New Roman"/>
          <w:sz w:val="24"/>
          <w:szCs w:val="24"/>
        </w:rPr>
      </w:pP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oMath>
      <w:r w:rsidR="00DF2F8E">
        <w:rPr>
          <w:rFonts w:ascii="Times New Roman" w:hAnsi="Times New Roman" w:cs="Times New Roman"/>
          <w:sz w:val="24"/>
          <w:szCs w:val="24"/>
        </w:rPr>
        <w:t xml:space="preserve"> represents a kind of </w:t>
      </w:r>
      <w:r w:rsidR="00610E79" w:rsidRPr="00610E79">
        <w:rPr>
          <w:rFonts w:ascii="Times New Roman" w:hAnsi="Times New Roman" w:cs="Times New Roman"/>
          <w:i/>
          <w:iCs/>
          <w:sz w:val="24"/>
          <w:szCs w:val="24"/>
        </w:rPr>
        <w:t>symmetric</w:t>
      </w:r>
      <w:r w:rsidR="00610E79">
        <w:rPr>
          <w:rFonts w:ascii="Times New Roman" w:hAnsi="Times New Roman" w:cs="Times New Roman"/>
          <w:sz w:val="24"/>
          <w:szCs w:val="24"/>
        </w:rPr>
        <w:t xml:space="preserve"> </w:t>
      </w:r>
      <w:r w:rsidR="00DF2F8E">
        <w:rPr>
          <w:rFonts w:ascii="Times New Roman" w:hAnsi="Times New Roman" w:cs="Times New Roman"/>
          <w:sz w:val="24"/>
          <w:szCs w:val="24"/>
        </w:rPr>
        <w:t xml:space="preserve">predictive criteria to </w:t>
      </w:r>
      <w:r w:rsidR="00D072E8">
        <w:rPr>
          <w:rFonts w:ascii="Times New Roman" w:hAnsi="Times New Roman" w:cs="Times New Roman"/>
          <w:sz w:val="24"/>
          <w:szCs w:val="24"/>
        </w:rPr>
        <w:t>indicate</w:t>
      </w:r>
      <w:r w:rsidR="00DF2F8E">
        <w:rPr>
          <w:rFonts w:ascii="Times New Roman" w:hAnsi="Times New Roman" w:cs="Times New Roman"/>
          <w:sz w:val="24"/>
          <w:szCs w:val="24"/>
        </w:rPr>
        <w:t xml:space="preserve"> the </w:t>
      </w:r>
      <w:r w:rsidR="00610E79">
        <w:rPr>
          <w:rFonts w:ascii="Times New Roman" w:hAnsi="Times New Roman" w:cs="Times New Roman"/>
          <w:sz w:val="24"/>
          <w:szCs w:val="24"/>
        </w:rPr>
        <w:t>change</w:t>
      </w:r>
      <w:r w:rsidR="00DF2F8E">
        <w:rPr>
          <w:rFonts w:ascii="Times New Roman" w:hAnsi="Times New Roman" w:cs="Times New Roman"/>
          <w:sz w:val="24"/>
          <w:szCs w:val="24"/>
        </w:rPr>
        <w:t xml:space="preserve"> in the </w:t>
      </w:r>
      <w:r w:rsidR="00610E79">
        <w:rPr>
          <w:rFonts w:ascii="Times New Roman" w:hAnsi="Times New Roman" w:cs="Times New Roman"/>
          <w:sz w:val="24"/>
          <w:szCs w:val="24"/>
        </w:rPr>
        <w:t>spread of the virus between 7 days’ average backward and</w:t>
      </w:r>
      <w:r w:rsidR="00DF2F8E">
        <w:rPr>
          <w:rFonts w:ascii="Times New Roman" w:hAnsi="Times New Roman" w:cs="Times New Roman"/>
          <w:sz w:val="24"/>
          <w:szCs w:val="24"/>
        </w:rPr>
        <w:t xml:space="preserve"> </w:t>
      </w:r>
      <w:r w:rsidR="00610E79">
        <w:rPr>
          <w:rFonts w:ascii="Times New Roman" w:hAnsi="Times New Roman" w:cs="Times New Roman"/>
          <w:sz w:val="24"/>
          <w:szCs w:val="24"/>
        </w:rPr>
        <w:t>7 d</w:t>
      </w:r>
      <w:r w:rsidR="00DF2F8E">
        <w:rPr>
          <w:rFonts w:ascii="Times New Roman" w:hAnsi="Times New Roman" w:cs="Times New Roman"/>
          <w:sz w:val="24"/>
          <w:szCs w:val="24"/>
        </w:rPr>
        <w:t>ays</w:t>
      </w:r>
      <w:r w:rsidR="00610E79">
        <w:rPr>
          <w:rFonts w:ascii="Times New Roman" w:hAnsi="Times New Roman" w:cs="Times New Roman"/>
          <w:sz w:val="24"/>
          <w:szCs w:val="24"/>
        </w:rPr>
        <w:t>’ average</w:t>
      </w:r>
      <w:r w:rsidR="00DF2F8E">
        <w:rPr>
          <w:rFonts w:ascii="Times New Roman" w:hAnsi="Times New Roman" w:cs="Times New Roman"/>
          <w:sz w:val="24"/>
          <w:szCs w:val="24"/>
        </w:rPr>
        <w:t xml:space="preserve"> forward </w:t>
      </w:r>
      <w:r w:rsidR="00610E79">
        <w:rPr>
          <w:rFonts w:ascii="Times New Roman" w:hAnsi="Times New Roman" w:cs="Times New Roman"/>
          <w:sz w:val="24"/>
          <w:szCs w:val="24"/>
        </w:rPr>
        <w:t>at</w:t>
      </w:r>
      <w:r w:rsidR="00DF2F8E">
        <w:rPr>
          <w:rFonts w:ascii="Times New Roman" w:hAnsi="Times New Roman" w:cs="Times New Roman"/>
          <w:sz w:val="24"/>
          <w:szCs w:val="24"/>
        </w:rPr>
        <w:t xml:space="preserve"> any arbitrary day </w:t>
      </w:r>
      <w:proofErr w:type="spellStart"/>
      <w:r w:rsidR="00DF2F8E">
        <w:rPr>
          <w:rFonts w:ascii="Times New Roman" w:hAnsi="Times New Roman" w:cs="Times New Roman"/>
          <w:i/>
          <w:iCs/>
          <w:sz w:val="24"/>
          <w:szCs w:val="24"/>
        </w:rPr>
        <w:t>i</w:t>
      </w:r>
      <w:proofErr w:type="spellEnd"/>
      <w:r w:rsidR="00DF2F8E">
        <w:rPr>
          <w:rFonts w:ascii="Times New Roman" w:hAnsi="Times New Roman" w:cs="Times New Roman"/>
          <w:sz w:val="24"/>
          <w:szCs w:val="24"/>
        </w:rPr>
        <w:t xml:space="preserve">. </w:t>
      </w:r>
    </w:p>
    <w:p w:rsidR="002203BB" w:rsidRDefault="002203BB" w:rsidP="002203BB">
      <w:pPr>
        <w:pStyle w:val="Heading3"/>
        <w:rPr>
          <w:rFonts w:ascii="Times New Roman" w:hAnsi="Times New Roman" w:cs="Times New Roman"/>
          <w:sz w:val="24"/>
          <w:szCs w:val="24"/>
        </w:rPr>
      </w:pPr>
      <w:r>
        <w:rPr>
          <w:rFonts w:ascii="Times New Roman" w:hAnsi="Times New Roman" w:cs="Times New Roman"/>
          <w:sz w:val="24"/>
          <w:szCs w:val="24"/>
        </w:rPr>
        <w:lastRenderedPageBreak/>
        <w:t>3.2 Data</w:t>
      </w:r>
    </w:p>
    <w:p w:rsidR="00E71679" w:rsidRPr="009872B0" w:rsidRDefault="00423BE4" w:rsidP="00E71679">
      <w:pPr>
        <w:spacing w:line="360" w:lineRule="auto"/>
        <w:jc w:val="both"/>
        <w:rPr>
          <w:rFonts w:ascii="Times New Roman" w:hAnsi="Times New Roman" w:cs="Times New Roman"/>
          <w:sz w:val="24"/>
          <w:szCs w:val="24"/>
        </w:rPr>
      </w:pPr>
      <w:r w:rsidRPr="009872B0">
        <w:rPr>
          <w:rFonts w:ascii="Times New Roman" w:hAnsi="Times New Roman" w:cs="Times New Roman"/>
          <w:sz w:val="24"/>
          <w:szCs w:val="24"/>
        </w:rPr>
        <w:t xml:space="preserve">In this paper we utilize </w:t>
      </w:r>
      <w:r>
        <w:rPr>
          <w:rFonts w:ascii="Times New Roman" w:hAnsi="Times New Roman" w:cs="Times New Roman"/>
          <w:sz w:val="24"/>
          <w:szCs w:val="24"/>
        </w:rPr>
        <w:t>4</w:t>
      </w:r>
      <w:r w:rsidRPr="009872B0">
        <w:rPr>
          <w:rFonts w:ascii="Times New Roman" w:hAnsi="Times New Roman" w:cs="Times New Roman"/>
          <w:sz w:val="24"/>
          <w:szCs w:val="24"/>
        </w:rPr>
        <w:t xml:space="preserve"> data</w:t>
      </w:r>
      <w:r>
        <w:rPr>
          <w:rFonts w:ascii="Times New Roman" w:hAnsi="Times New Roman" w:cs="Times New Roman"/>
          <w:sz w:val="24"/>
          <w:szCs w:val="24"/>
        </w:rPr>
        <w:t xml:space="preserve"> source files (per country per day government measures NPIs, per country per day virus variant distributions, per country per day per dose new vaccinations and per country per day new reported infections)</w:t>
      </w:r>
      <w:r w:rsidRPr="009872B0">
        <w:rPr>
          <w:rFonts w:ascii="Times New Roman" w:hAnsi="Times New Roman" w:cs="Times New Roman"/>
          <w:sz w:val="24"/>
          <w:szCs w:val="24"/>
        </w:rPr>
        <w:t xml:space="preserve"> from the information provided by </w:t>
      </w:r>
      <w:hyperlink r:id="rId16" w:tooltip="https://www.ecdc.europa.eu/en" w:history="1">
        <w:r w:rsidRPr="009872B0">
          <w:rPr>
            <w:rStyle w:val="Hyperlink"/>
            <w:rFonts w:ascii="Times New Roman" w:hAnsi="Times New Roman" w:cs="Times New Roman"/>
            <w:color w:val="auto"/>
            <w:sz w:val="24"/>
            <w:szCs w:val="24"/>
          </w:rPr>
          <w:t>European Centre for Disease Prevention and Control</w:t>
        </w:r>
      </w:hyperlink>
      <w:r w:rsidRPr="009872B0">
        <w:rPr>
          <w:rStyle w:val="FootnoteReference"/>
          <w:rFonts w:ascii="Times New Roman" w:hAnsi="Times New Roman" w:cs="Times New Roman"/>
          <w:sz w:val="24"/>
          <w:szCs w:val="24"/>
          <w:u w:val="single"/>
        </w:rPr>
        <w:footnoteReference w:id="2"/>
      </w:r>
      <w:r w:rsidRPr="009872B0">
        <w:rPr>
          <w:rFonts w:ascii="Times New Roman" w:hAnsi="Times New Roman" w:cs="Times New Roman"/>
          <w:sz w:val="24"/>
          <w:szCs w:val="24"/>
        </w:rPr>
        <w:t>. We studied the countries within the time spans as it is presented in the table 2</w:t>
      </w:r>
      <w:r w:rsidR="00E71679" w:rsidRPr="009872B0">
        <w:rPr>
          <w:rFonts w:ascii="Times New Roman" w:hAnsi="Times New Roman" w:cs="Times New Roman"/>
          <w:sz w:val="24"/>
          <w:szCs w:val="24"/>
        </w:rPr>
        <w:t>.</w:t>
      </w:r>
      <w:r w:rsidR="00E71679" w:rsidRPr="009872B0">
        <w:rPr>
          <w:rStyle w:val="FootnoteReference"/>
          <w:rFonts w:ascii="Times New Roman" w:hAnsi="Times New Roman" w:cs="Times New Roman"/>
          <w:sz w:val="24"/>
          <w:szCs w:val="24"/>
        </w:rPr>
        <w:footnoteReference w:id="3"/>
      </w:r>
      <w:r>
        <w:rPr>
          <w:rFonts w:ascii="Times New Roman" w:hAnsi="Times New Roman" w:cs="Times New Roman"/>
          <w:sz w:val="24"/>
          <w:szCs w:val="24"/>
        </w:rPr>
        <w:t xml:space="preserve"> </w:t>
      </w:r>
    </w:p>
    <w:tbl>
      <w:tblPr>
        <w:tblStyle w:val="TableGrid"/>
        <w:tblW w:w="0" w:type="auto"/>
        <w:jc w:val="right"/>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116"/>
        <w:gridCol w:w="3117"/>
        <w:gridCol w:w="3117"/>
      </w:tblGrid>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Country</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from</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until</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Luxembourg</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2020-03-09</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2022-06-29</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Hungary</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'2020-03-11</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2021-06-11</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Germany</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2020-02-14</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2022-06-10</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Latvia</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2020-03-12</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2022-05-14</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Spain</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2020-03-09</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2022-04-19</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Norway</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2020-03-10</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2022-02-12</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Romania</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2020-03-16</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2022-03-08</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Liechtenstein</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2020-10-01</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2022-03-31</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Portugal</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2020-02-27</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2022-06-30</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Belgium</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2020-03-10</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2022-05-22</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Bulgaria</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2020-02-24</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2022-07-17</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France</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2020-02-29</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2022-07-31</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Italy</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2020-03-04</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2022-06-14</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Slovakia</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2020-03-10</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2022-04-20</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Ireland</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2020-01-27</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2022-03-15</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Denmark</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2020-03-11</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2022-04-27</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Iceland</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2020-07-23</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2021-12-03</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Cyprus</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2020-03-10</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2022-04-14</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Greece</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2020-02-27</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2022-04-30</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Netherlands</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2020-03-12</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2022-05-31</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Czech</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2020-03-10</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2022-05-05</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Lithuania</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2020-02-24</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2022-04-30</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Austria</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2020-03-10</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2022-05-15</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Poland</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2020-03-08</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2022-03-27</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Slovenia</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2020-03-10</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2022-05-30</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Estonia</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2020-01-28</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2022-07-20</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Malta</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2020-03-13</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2022-07-24</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Croatia</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2020-03-03</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2022-04-30</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Finland</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2020-03-12</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2022-06-30</w:t>
            </w:r>
          </w:p>
        </w:tc>
      </w:tr>
      <w:tr w:rsidR="00E71679" w:rsidRPr="009872B0" w:rsidTr="003F3C95">
        <w:trPr>
          <w:jc w:val="right"/>
        </w:trPr>
        <w:tc>
          <w:tcPr>
            <w:tcW w:w="3116"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Sweden</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2020-03-12</w:t>
            </w:r>
          </w:p>
        </w:tc>
        <w:tc>
          <w:tcPr>
            <w:tcW w:w="3117" w:type="dxa"/>
          </w:tcPr>
          <w:p w:rsidR="00E71679" w:rsidRPr="009872B0" w:rsidRDefault="00E71679" w:rsidP="003F3C95">
            <w:pPr>
              <w:jc w:val="both"/>
              <w:rPr>
                <w:rFonts w:ascii="Times New Roman" w:hAnsi="Times New Roman" w:cs="Times New Roman"/>
                <w:sz w:val="16"/>
                <w:szCs w:val="16"/>
              </w:rPr>
            </w:pPr>
            <w:r w:rsidRPr="009872B0">
              <w:rPr>
                <w:rFonts w:ascii="Times New Roman" w:hAnsi="Times New Roman" w:cs="Times New Roman"/>
                <w:sz w:val="16"/>
                <w:szCs w:val="16"/>
              </w:rPr>
              <w:t>2022-03-31</w:t>
            </w:r>
          </w:p>
        </w:tc>
      </w:tr>
    </w:tbl>
    <w:p w:rsidR="00E71679" w:rsidRPr="009872B0" w:rsidRDefault="00E71679" w:rsidP="00E71679">
      <w:pPr>
        <w:spacing w:line="360" w:lineRule="auto"/>
        <w:jc w:val="both"/>
        <w:rPr>
          <w:rFonts w:ascii="Times New Roman" w:hAnsi="Times New Roman" w:cs="Times New Roman"/>
          <w:sz w:val="20"/>
          <w:szCs w:val="20"/>
        </w:rPr>
      </w:pPr>
      <w:r w:rsidRPr="009872B0">
        <w:rPr>
          <w:rFonts w:ascii="Times New Roman" w:hAnsi="Times New Roman" w:cs="Times New Roman"/>
          <w:sz w:val="20"/>
          <w:szCs w:val="20"/>
        </w:rPr>
        <w:t>Table 2: data time spans by countries</w:t>
      </w:r>
    </w:p>
    <w:p w:rsidR="00E71679" w:rsidRPr="00244EF7" w:rsidRDefault="0022262B" w:rsidP="00D57A3D">
      <w:pPr>
        <w:spacing w:line="360" w:lineRule="auto"/>
        <w:jc w:val="both"/>
        <w:rPr>
          <w:rFonts w:ascii="Times New Roman" w:hAnsi="Times New Roman" w:cs="Times New Roman"/>
          <w:sz w:val="24"/>
          <w:szCs w:val="24"/>
        </w:rPr>
      </w:pPr>
      <w:r w:rsidRPr="009872B0">
        <w:rPr>
          <w:rFonts w:ascii="Times New Roman" w:hAnsi="Times New Roman" w:cs="Times New Roman"/>
          <w:sz w:val="24"/>
          <w:szCs w:val="24"/>
        </w:rPr>
        <w:t xml:space="preserve">The day-to-day based data of the accumulative vaccination doses, </w:t>
      </w:r>
      <w:r>
        <w:rPr>
          <w:rFonts w:ascii="Times New Roman" w:hAnsi="Times New Roman" w:cs="Times New Roman"/>
          <w:sz w:val="24"/>
          <w:szCs w:val="24"/>
        </w:rPr>
        <w:t xml:space="preserve">distribution of the </w:t>
      </w:r>
      <w:r w:rsidRPr="009872B0">
        <w:rPr>
          <w:rFonts w:ascii="Times New Roman" w:hAnsi="Times New Roman" w:cs="Times New Roman"/>
          <w:sz w:val="24"/>
          <w:szCs w:val="24"/>
        </w:rPr>
        <w:t>type</w:t>
      </w:r>
      <w:r>
        <w:rPr>
          <w:rFonts w:ascii="Times New Roman" w:hAnsi="Times New Roman" w:cs="Times New Roman"/>
          <w:sz w:val="24"/>
          <w:szCs w:val="24"/>
        </w:rPr>
        <w:t>s</w:t>
      </w:r>
      <w:r w:rsidRPr="009872B0">
        <w:rPr>
          <w:rFonts w:ascii="Times New Roman" w:hAnsi="Times New Roman" w:cs="Times New Roman"/>
          <w:sz w:val="24"/>
          <w:szCs w:val="24"/>
        </w:rPr>
        <w:t xml:space="preserve"> of virus variants</w:t>
      </w:r>
      <w:r>
        <w:rPr>
          <w:rFonts w:ascii="Times New Roman" w:hAnsi="Times New Roman" w:cs="Times New Roman"/>
          <w:sz w:val="24"/>
          <w:szCs w:val="24"/>
        </w:rPr>
        <w:t xml:space="preserve"> per day in each country</w:t>
      </w:r>
      <w:r w:rsidRPr="009872B0">
        <w:rPr>
          <w:rFonts w:ascii="Times New Roman" w:hAnsi="Times New Roman" w:cs="Times New Roman"/>
          <w:sz w:val="24"/>
          <w:szCs w:val="24"/>
        </w:rPr>
        <w:t xml:space="preserve">, implemented </w:t>
      </w:r>
      <w:r>
        <w:rPr>
          <w:rFonts w:ascii="Times New Roman" w:hAnsi="Times New Roman" w:cs="Times New Roman"/>
          <w:sz w:val="24"/>
          <w:szCs w:val="24"/>
        </w:rPr>
        <w:t xml:space="preserve">each </w:t>
      </w:r>
      <w:r w:rsidRPr="009872B0">
        <w:rPr>
          <w:rFonts w:ascii="Times New Roman" w:hAnsi="Times New Roman" w:cs="Times New Roman"/>
          <w:sz w:val="24"/>
          <w:szCs w:val="24"/>
        </w:rPr>
        <w:t>European</w:t>
      </w:r>
      <w:r>
        <w:rPr>
          <w:rFonts w:ascii="Times New Roman" w:hAnsi="Times New Roman" w:cs="Times New Roman"/>
          <w:sz w:val="24"/>
          <w:szCs w:val="24"/>
        </w:rPr>
        <w:t xml:space="preserve"> country’s</w:t>
      </w:r>
      <w:r w:rsidRPr="009872B0">
        <w:rPr>
          <w:rFonts w:ascii="Times New Roman" w:hAnsi="Times New Roman" w:cs="Times New Roman"/>
          <w:sz w:val="24"/>
          <w:szCs w:val="24"/>
        </w:rPr>
        <w:t xml:space="preserve"> government measures NPIs</w:t>
      </w:r>
      <w:r>
        <w:rPr>
          <w:rFonts w:ascii="Times New Roman" w:hAnsi="Times New Roman" w:cs="Times New Roman"/>
          <w:sz w:val="24"/>
          <w:szCs w:val="24"/>
        </w:rPr>
        <w:t xml:space="preserve"> per day</w:t>
      </w:r>
      <w:r w:rsidRPr="009872B0">
        <w:rPr>
          <w:rFonts w:ascii="Times New Roman" w:hAnsi="Times New Roman" w:cs="Times New Roman"/>
          <w:sz w:val="24"/>
          <w:szCs w:val="24"/>
        </w:rPr>
        <w:t xml:space="preserve"> as well as the data regarding the number of reported new infections (per day)</w:t>
      </w:r>
      <w:r w:rsidRPr="009872B0">
        <w:rPr>
          <w:rStyle w:val="FootnoteReference"/>
          <w:rFonts w:ascii="Times New Roman" w:hAnsi="Times New Roman" w:cs="Times New Roman"/>
          <w:sz w:val="24"/>
          <w:szCs w:val="24"/>
        </w:rPr>
        <w:footnoteReference w:id="4"/>
      </w:r>
      <w:r w:rsidRPr="009872B0">
        <w:rPr>
          <w:rFonts w:ascii="Times New Roman" w:hAnsi="Times New Roman" w:cs="Times New Roman"/>
          <w:sz w:val="24"/>
          <w:szCs w:val="24"/>
        </w:rPr>
        <w:t xml:space="preserve"> in each </w:t>
      </w:r>
      <w:r w:rsidRPr="009872B0">
        <w:rPr>
          <w:rFonts w:ascii="Times New Roman" w:hAnsi="Times New Roman" w:cs="Times New Roman"/>
          <w:sz w:val="24"/>
          <w:szCs w:val="24"/>
        </w:rPr>
        <w:lastRenderedPageBreak/>
        <w:t>of studied 30 countries are first extracted</w:t>
      </w:r>
      <w:r>
        <w:rPr>
          <w:rFonts w:ascii="Times New Roman" w:hAnsi="Times New Roman" w:cs="Times New Roman"/>
          <w:sz w:val="24"/>
          <w:szCs w:val="24"/>
        </w:rPr>
        <w:t xml:space="preserve"> from the 4 data source files</w:t>
      </w:r>
      <w:r w:rsidR="0096318D">
        <w:rPr>
          <w:rFonts w:ascii="Times New Roman" w:hAnsi="Times New Roman" w:cs="Times New Roman"/>
          <w:sz w:val="24"/>
          <w:szCs w:val="24"/>
        </w:rPr>
        <w:t>.</w:t>
      </w:r>
      <w:r w:rsidR="00E71679">
        <w:rPr>
          <w:rFonts w:ascii="Times New Roman" w:hAnsi="Times New Roman" w:cs="Times New Roman"/>
          <w:sz w:val="24"/>
          <w:szCs w:val="24"/>
        </w:rPr>
        <w:t xml:space="preserve"> The data sets are </w:t>
      </w:r>
      <w:r w:rsidR="00E71679" w:rsidRPr="009872B0">
        <w:rPr>
          <w:rFonts w:ascii="Times New Roman" w:hAnsi="Times New Roman" w:cs="Times New Roman"/>
          <w:sz w:val="24"/>
          <w:szCs w:val="24"/>
        </w:rPr>
        <w:t>merged</w:t>
      </w:r>
      <w:r w:rsidR="00E71679">
        <w:rPr>
          <w:rFonts w:ascii="Times New Roman" w:hAnsi="Times New Roman" w:cs="Times New Roman"/>
          <w:sz w:val="24"/>
          <w:szCs w:val="24"/>
        </w:rPr>
        <w:t xml:space="preserve"> then</w:t>
      </w:r>
      <w:r w:rsidR="00E71679" w:rsidRPr="009872B0">
        <w:rPr>
          <w:rFonts w:ascii="Times New Roman" w:hAnsi="Times New Roman" w:cs="Times New Roman"/>
          <w:sz w:val="24"/>
          <w:szCs w:val="24"/>
        </w:rPr>
        <w:t xml:space="preserve"> into a unique </w:t>
      </w:r>
      <w:r w:rsidR="00E71679">
        <w:rPr>
          <w:rFonts w:ascii="Times New Roman" w:hAnsi="Times New Roman" w:cs="Times New Roman"/>
          <w:sz w:val="24"/>
          <w:szCs w:val="24"/>
        </w:rPr>
        <w:t>pandas</w:t>
      </w:r>
      <w:r w:rsidR="00E71679" w:rsidRPr="009872B0">
        <w:rPr>
          <w:rFonts w:ascii="Times New Roman" w:hAnsi="Times New Roman" w:cs="Times New Roman"/>
          <w:sz w:val="24"/>
          <w:szCs w:val="24"/>
        </w:rPr>
        <w:t xml:space="preserve"> table named </w:t>
      </w:r>
      <w:proofErr w:type="spellStart"/>
      <w:r w:rsidR="00E71679" w:rsidRPr="009872B0">
        <w:rPr>
          <w:rFonts w:ascii="Times New Roman" w:hAnsi="Times New Roman" w:cs="Times New Roman"/>
          <w:i/>
          <w:iCs/>
          <w:sz w:val="24"/>
          <w:szCs w:val="24"/>
        </w:rPr>
        <w:t>data_encoded</w:t>
      </w:r>
      <w:proofErr w:type="spellEnd"/>
      <w:r w:rsidR="00E71679" w:rsidRPr="009872B0">
        <w:rPr>
          <w:rFonts w:ascii="Times New Roman" w:hAnsi="Times New Roman" w:cs="Times New Roman"/>
          <w:sz w:val="24"/>
          <w:szCs w:val="24"/>
        </w:rPr>
        <w:t xml:space="preserve">. The code for constructing the data table </w:t>
      </w:r>
      <w:proofErr w:type="spellStart"/>
      <w:r w:rsidR="00E71679" w:rsidRPr="009872B0">
        <w:rPr>
          <w:rFonts w:ascii="Times New Roman" w:hAnsi="Times New Roman" w:cs="Times New Roman"/>
          <w:i/>
          <w:iCs/>
          <w:sz w:val="24"/>
          <w:szCs w:val="24"/>
        </w:rPr>
        <w:t>data_encoded</w:t>
      </w:r>
      <w:proofErr w:type="spellEnd"/>
      <w:r w:rsidR="00E71679" w:rsidRPr="009872B0">
        <w:rPr>
          <w:rFonts w:ascii="Times New Roman" w:hAnsi="Times New Roman" w:cs="Times New Roman"/>
          <w:sz w:val="24"/>
          <w:szCs w:val="24"/>
        </w:rPr>
        <w:t xml:space="preserve"> through merging </w:t>
      </w:r>
      <w:r w:rsidR="003F3C95">
        <w:rPr>
          <w:rFonts w:ascii="Times New Roman" w:hAnsi="Times New Roman" w:cs="Times New Roman"/>
          <w:sz w:val="24"/>
          <w:szCs w:val="24"/>
        </w:rPr>
        <w:t>the</w:t>
      </w:r>
      <w:r w:rsidR="00E71679" w:rsidRPr="009872B0">
        <w:rPr>
          <w:rFonts w:ascii="Times New Roman" w:hAnsi="Times New Roman" w:cs="Times New Roman"/>
          <w:sz w:val="24"/>
          <w:szCs w:val="24"/>
        </w:rPr>
        <w:t xml:space="preserve"> primary data sets as well as relevant data files have been appended to the supple</w:t>
      </w:r>
      <w:r w:rsidR="00E71679">
        <w:rPr>
          <w:rFonts w:ascii="Times New Roman" w:hAnsi="Times New Roman" w:cs="Times New Roman"/>
          <w:sz w:val="24"/>
          <w:szCs w:val="24"/>
        </w:rPr>
        <w:t>mentary material of this paper.</w:t>
      </w:r>
      <w:r w:rsidR="00244EF7">
        <w:rPr>
          <w:rFonts w:ascii="Times New Roman" w:hAnsi="Times New Roman" w:cs="Times New Roman"/>
          <w:sz w:val="24"/>
          <w:szCs w:val="24"/>
        </w:rPr>
        <w:t xml:space="preserve"> </w:t>
      </w:r>
    </w:p>
    <w:p w:rsidR="000D4730" w:rsidRDefault="00AF6987" w:rsidP="000D4730">
      <w:pPr>
        <w:spacing w:line="360" w:lineRule="auto"/>
        <w:jc w:val="both"/>
        <w:rPr>
          <w:rFonts w:ascii="Times New Roman" w:eastAsia="Times New Roman" w:hAnsi="Times New Roman" w:cs="Times New Roman"/>
          <w:color w:val="000000"/>
          <w:sz w:val="24"/>
        </w:rPr>
      </w:pPr>
      <w:r>
        <w:rPr>
          <w:rFonts w:ascii="Times New Roman" w:hAnsi="Times New Roman" w:cs="Times New Roman"/>
          <w:sz w:val="24"/>
          <w:szCs w:val="24"/>
        </w:rPr>
        <w:t>E</w:t>
      </w:r>
      <w:r w:rsidR="00384DAA" w:rsidRPr="009872B0">
        <w:rPr>
          <w:rFonts w:ascii="Times New Roman" w:hAnsi="Times New Roman" w:cs="Times New Roman"/>
          <w:sz w:val="24"/>
          <w:szCs w:val="24"/>
        </w:rPr>
        <w:t>ach of government</w:t>
      </w:r>
      <w:r>
        <w:rPr>
          <w:rFonts w:ascii="Times New Roman" w:hAnsi="Times New Roman" w:cs="Times New Roman"/>
          <w:sz w:val="24"/>
          <w:szCs w:val="24"/>
        </w:rPr>
        <w:t>’s</w:t>
      </w:r>
      <w:r w:rsidR="00384DAA" w:rsidRPr="009872B0">
        <w:rPr>
          <w:rFonts w:ascii="Times New Roman" w:hAnsi="Times New Roman" w:cs="Times New Roman"/>
          <w:sz w:val="24"/>
          <w:szCs w:val="24"/>
        </w:rPr>
        <w:t xml:space="preserve"> policies NPIs is set equal to 1 when it is implemented within a day in a country and is set to be zero when not implemented. </w:t>
      </w:r>
      <w:r w:rsidR="000D4730">
        <w:rPr>
          <w:rFonts w:ascii="Times New Roman" w:eastAsia="Times New Roman" w:hAnsi="Times New Roman" w:cs="Times New Roman"/>
          <w:color w:val="000000"/>
          <w:sz w:val="24"/>
        </w:rPr>
        <w:t xml:space="preserve">A detailed explanation of NPIs is presented in Lorenzo et. al. (2022). A variable dictionary related to the data on non-pharmaceutical interventions NPIs can be downloaded from the </w:t>
      </w:r>
      <w:hyperlink r:id="rId17" w:tooltip="https://www.ecdc.europa.eu/sites/default/files/documents/Variable_Dictionary_and_Disclaimer_non-pharmacautical_measures_v3.pdf" w:history="1">
        <w:r w:rsidR="000D4730">
          <w:rPr>
            <w:rStyle w:val="Hyperlink"/>
            <w:rFonts w:ascii="Times New Roman" w:eastAsia="Times New Roman" w:hAnsi="Times New Roman" w:cs="Times New Roman"/>
            <w:sz w:val="24"/>
          </w:rPr>
          <w:t>ec</w:t>
        </w:r>
        <w:r w:rsidR="000D4730">
          <w:rPr>
            <w:rStyle w:val="Hyperlink"/>
            <w:rFonts w:ascii="Times New Roman" w:eastAsia="Times New Roman" w:hAnsi="Times New Roman" w:cs="Times New Roman"/>
            <w:sz w:val="24"/>
          </w:rPr>
          <w:t>d</w:t>
        </w:r>
        <w:r w:rsidR="000D4730">
          <w:rPr>
            <w:rStyle w:val="Hyperlink"/>
            <w:rFonts w:ascii="Times New Roman" w:eastAsia="Times New Roman" w:hAnsi="Times New Roman" w:cs="Times New Roman"/>
            <w:sz w:val="24"/>
          </w:rPr>
          <w:t>c</w:t>
        </w:r>
      </w:hyperlink>
      <w:r w:rsidR="000D4730">
        <w:rPr>
          <w:rFonts w:ascii="Times New Roman" w:eastAsia="Times New Roman" w:hAnsi="Times New Roman" w:cs="Times New Roman"/>
          <w:color w:val="000000"/>
          <w:sz w:val="24"/>
        </w:rPr>
        <w:t xml:space="preserve"> website. The set of studied NPIs are represented in alphabetical order in table 3.</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34"/>
        <w:gridCol w:w="2373"/>
        <w:gridCol w:w="2712"/>
        <w:gridCol w:w="2041"/>
      </w:tblGrid>
      <w:tr w:rsidR="000D4730" w:rsidRPr="00A81634" w:rsidTr="00821F2B">
        <w:tc>
          <w:tcPr>
            <w:tcW w:w="2234" w:type="dxa"/>
            <w:tcBorders>
              <w:bottom w:val="single" w:sz="4" w:space="0" w:color="auto"/>
            </w:tcBorders>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Government NPIs</w:t>
            </w:r>
            <w:r w:rsidRPr="00A81634">
              <w:rPr>
                <w:rStyle w:val="FootnoteReference"/>
                <w:rFonts w:ascii="Times New Roman" w:hAnsi="Times New Roman" w:cs="Times New Roman"/>
                <w:sz w:val="18"/>
                <w:szCs w:val="18"/>
              </w:rPr>
              <w:footnoteReference w:id="5"/>
            </w:r>
          </w:p>
        </w:tc>
        <w:tc>
          <w:tcPr>
            <w:tcW w:w="2373" w:type="dxa"/>
            <w:tcBorders>
              <w:bottom w:val="single" w:sz="4" w:space="0" w:color="auto"/>
            </w:tcBorders>
          </w:tcPr>
          <w:p w:rsidR="000D4730" w:rsidRPr="00A81634" w:rsidRDefault="000D4730" w:rsidP="00821F2B">
            <w:pPr>
              <w:jc w:val="both"/>
              <w:rPr>
                <w:rFonts w:ascii="Times New Roman" w:hAnsi="Times New Roman" w:cs="Times New Roman"/>
                <w:sz w:val="18"/>
                <w:szCs w:val="18"/>
              </w:rPr>
            </w:pPr>
          </w:p>
        </w:tc>
        <w:tc>
          <w:tcPr>
            <w:tcW w:w="2712" w:type="dxa"/>
            <w:tcBorders>
              <w:bottom w:val="single" w:sz="4" w:space="0" w:color="auto"/>
            </w:tcBorders>
          </w:tcPr>
          <w:p w:rsidR="000D4730" w:rsidRPr="00A81634" w:rsidRDefault="000D4730" w:rsidP="00821F2B">
            <w:pPr>
              <w:jc w:val="both"/>
              <w:rPr>
                <w:rFonts w:ascii="Times New Roman" w:hAnsi="Times New Roman" w:cs="Times New Roman"/>
                <w:sz w:val="18"/>
                <w:szCs w:val="18"/>
              </w:rPr>
            </w:pPr>
          </w:p>
        </w:tc>
        <w:tc>
          <w:tcPr>
            <w:tcW w:w="2041" w:type="dxa"/>
            <w:tcBorders>
              <w:bottom w:val="single" w:sz="4" w:space="0" w:color="auto"/>
            </w:tcBorders>
          </w:tcPr>
          <w:p w:rsidR="000D4730" w:rsidRPr="00A81634" w:rsidRDefault="000D4730" w:rsidP="00821F2B">
            <w:pPr>
              <w:jc w:val="both"/>
              <w:rPr>
                <w:rFonts w:ascii="Times New Roman" w:hAnsi="Times New Roman" w:cs="Times New Roman"/>
                <w:sz w:val="18"/>
                <w:szCs w:val="18"/>
              </w:rPr>
            </w:pPr>
          </w:p>
        </w:tc>
      </w:tr>
      <w:tr w:rsidR="000D4730" w:rsidRPr="00A81634" w:rsidTr="00821F2B">
        <w:tc>
          <w:tcPr>
            <w:tcW w:w="2234" w:type="dxa"/>
            <w:tcBorders>
              <w:top w:val="single" w:sz="4" w:space="0" w:color="auto"/>
            </w:tcBorders>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AdaptationOfWorkplace</w:t>
            </w:r>
            <w:proofErr w:type="spellEnd"/>
            <w:r w:rsidRPr="00A81634">
              <w:rPr>
                <w:rFonts w:ascii="Times New Roman" w:hAnsi="Times New Roman" w:cs="Times New Roman"/>
                <w:sz w:val="18"/>
                <w:szCs w:val="18"/>
              </w:rPr>
              <w:t>'</w:t>
            </w:r>
          </w:p>
        </w:tc>
        <w:tc>
          <w:tcPr>
            <w:tcW w:w="2373" w:type="dxa"/>
            <w:tcBorders>
              <w:top w:val="single" w:sz="4" w:space="0" w:color="auto"/>
            </w:tcBorders>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'IndoorOver100'</w:t>
            </w:r>
          </w:p>
        </w:tc>
        <w:tc>
          <w:tcPr>
            <w:tcW w:w="2712" w:type="dxa"/>
            <w:tcBorders>
              <w:top w:val="single" w:sz="4" w:space="0" w:color="auto"/>
            </w:tcBorders>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'MassGather50'</w:t>
            </w:r>
          </w:p>
        </w:tc>
        <w:tc>
          <w:tcPr>
            <w:tcW w:w="2041" w:type="dxa"/>
            <w:tcBorders>
              <w:top w:val="single" w:sz="4" w:space="0" w:color="auto"/>
            </w:tcBorders>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RegionalStayHomeOrder</w:t>
            </w:r>
            <w:proofErr w:type="spellEnd"/>
            <w:r w:rsidRPr="00A81634">
              <w:rPr>
                <w:rFonts w:ascii="Times New Roman" w:hAnsi="Times New Roman" w:cs="Times New Roman"/>
                <w:sz w:val="18"/>
                <w:szCs w:val="18"/>
              </w:rPr>
              <w:t>'</w:t>
            </w: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AdaptationOfWorkplacePartial</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'IndoorOver1000'</w:t>
            </w:r>
          </w:p>
        </w:tc>
        <w:tc>
          <w:tcPr>
            <w:tcW w:w="2712"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'MassGather50Partial'</w:t>
            </w:r>
          </w:p>
        </w:tc>
        <w:tc>
          <w:tcPr>
            <w:tcW w:w="2041"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RegionalStayHomeOrderPartial</w:t>
            </w:r>
            <w:proofErr w:type="spellEnd"/>
            <w:r w:rsidRPr="00A81634">
              <w:rPr>
                <w:rFonts w:ascii="Times New Roman" w:hAnsi="Times New Roman" w:cs="Times New Roman"/>
                <w:sz w:val="18"/>
                <w:szCs w:val="18"/>
              </w:rPr>
              <w:t>'</w:t>
            </w: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BanOnAllEvents</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'IndoorOver50'</w:t>
            </w:r>
          </w:p>
        </w:tc>
        <w:tc>
          <w:tcPr>
            <w:tcW w:w="2712"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MassGatherAll</w:t>
            </w:r>
            <w:proofErr w:type="spellEnd"/>
            <w:r w:rsidRPr="00A81634">
              <w:rPr>
                <w:rFonts w:ascii="Times New Roman" w:hAnsi="Times New Roman" w:cs="Times New Roman"/>
                <w:sz w:val="18"/>
                <w:szCs w:val="18"/>
              </w:rPr>
              <w:t>'</w:t>
            </w:r>
          </w:p>
        </w:tc>
        <w:tc>
          <w:tcPr>
            <w:tcW w:w="2041"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RestaurantsCafes</w:t>
            </w:r>
            <w:proofErr w:type="spellEnd"/>
            <w:r w:rsidRPr="00A81634">
              <w:rPr>
                <w:rFonts w:ascii="Times New Roman" w:hAnsi="Times New Roman" w:cs="Times New Roman"/>
                <w:sz w:val="18"/>
                <w:szCs w:val="18"/>
              </w:rPr>
              <w:t>'</w:t>
            </w: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BanOnAllEventsPartial</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'IndoorOver500'</w:t>
            </w:r>
          </w:p>
        </w:tc>
        <w:tc>
          <w:tcPr>
            <w:tcW w:w="2712"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MassGatherAllPartial</w:t>
            </w:r>
            <w:proofErr w:type="spellEnd"/>
            <w:r w:rsidRPr="00A81634">
              <w:rPr>
                <w:rFonts w:ascii="Times New Roman" w:hAnsi="Times New Roman" w:cs="Times New Roman"/>
                <w:sz w:val="18"/>
                <w:szCs w:val="18"/>
              </w:rPr>
              <w:t>'</w:t>
            </w:r>
          </w:p>
        </w:tc>
        <w:tc>
          <w:tcPr>
            <w:tcW w:w="2041"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RestaurantsCafesPartial</w:t>
            </w:r>
            <w:proofErr w:type="spellEnd"/>
            <w:r w:rsidRPr="00A81634">
              <w:rPr>
                <w:rFonts w:ascii="Times New Roman" w:hAnsi="Times New Roman" w:cs="Times New Roman"/>
                <w:sz w:val="18"/>
                <w:szCs w:val="18"/>
              </w:rPr>
              <w:t>'</w:t>
            </w: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ClosDaycare</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MasksMandatoryAllSpaces</w:t>
            </w:r>
            <w:proofErr w:type="spellEnd"/>
            <w:r w:rsidRPr="00A81634">
              <w:rPr>
                <w:rFonts w:ascii="Times New Roman" w:hAnsi="Times New Roman" w:cs="Times New Roman"/>
                <w:sz w:val="18"/>
                <w:szCs w:val="18"/>
              </w:rPr>
              <w:t>'</w:t>
            </w:r>
          </w:p>
        </w:tc>
        <w:tc>
          <w:tcPr>
            <w:tcW w:w="2712"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NonEssentialShops</w:t>
            </w:r>
            <w:proofErr w:type="spellEnd"/>
            <w:r w:rsidRPr="00A81634">
              <w:rPr>
                <w:rFonts w:ascii="Times New Roman" w:hAnsi="Times New Roman" w:cs="Times New Roman"/>
                <w:sz w:val="18"/>
                <w:szCs w:val="18"/>
              </w:rPr>
              <w:t>'</w:t>
            </w:r>
          </w:p>
        </w:tc>
        <w:tc>
          <w:tcPr>
            <w:tcW w:w="2041"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SocialCircle</w:t>
            </w:r>
            <w:proofErr w:type="spellEnd"/>
            <w:r w:rsidRPr="00A81634">
              <w:rPr>
                <w:rFonts w:ascii="Times New Roman" w:hAnsi="Times New Roman" w:cs="Times New Roman"/>
                <w:sz w:val="18"/>
                <w:szCs w:val="18"/>
              </w:rPr>
              <w:t>'</w:t>
            </w: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ClosDaycarePartial</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MasksMandatoryAllSpacesPartial</w:t>
            </w:r>
            <w:proofErr w:type="spellEnd"/>
            <w:r w:rsidRPr="00A81634">
              <w:rPr>
                <w:rFonts w:ascii="Times New Roman" w:hAnsi="Times New Roman" w:cs="Times New Roman"/>
                <w:sz w:val="18"/>
                <w:szCs w:val="18"/>
              </w:rPr>
              <w:t>'</w:t>
            </w:r>
          </w:p>
        </w:tc>
        <w:tc>
          <w:tcPr>
            <w:tcW w:w="2712"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NonEssentialShopsPartial</w:t>
            </w:r>
            <w:proofErr w:type="spellEnd"/>
            <w:r w:rsidRPr="00A81634">
              <w:rPr>
                <w:rFonts w:ascii="Times New Roman" w:hAnsi="Times New Roman" w:cs="Times New Roman"/>
                <w:sz w:val="18"/>
                <w:szCs w:val="18"/>
              </w:rPr>
              <w:t>'</w:t>
            </w:r>
          </w:p>
        </w:tc>
        <w:tc>
          <w:tcPr>
            <w:tcW w:w="2041"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SocialCirclePartial</w:t>
            </w:r>
            <w:proofErr w:type="spellEnd"/>
            <w:r w:rsidRPr="00A81634">
              <w:rPr>
                <w:rFonts w:ascii="Times New Roman" w:hAnsi="Times New Roman" w:cs="Times New Roman"/>
                <w:sz w:val="18"/>
                <w:szCs w:val="18"/>
              </w:rPr>
              <w:t>'</w:t>
            </w: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ClosHigh</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MasksMandatoryClosedSpaces</w:t>
            </w:r>
            <w:proofErr w:type="spellEnd"/>
            <w:r w:rsidRPr="00A81634">
              <w:rPr>
                <w:rFonts w:ascii="Times New Roman" w:hAnsi="Times New Roman" w:cs="Times New Roman"/>
                <w:sz w:val="18"/>
                <w:szCs w:val="18"/>
              </w:rPr>
              <w:t>'</w:t>
            </w:r>
          </w:p>
        </w:tc>
        <w:tc>
          <w:tcPr>
            <w:tcW w:w="2712"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 xml:space="preserve">'OutdoorOver100' </w:t>
            </w:r>
          </w:p>
        </w:tc>
        <w:tc>
          <w:tcPr>
            <w:tcW w:w="2041"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StayHomeGen</w:t>
            </w:r>
            <w:proofErr w:type="spellEnd"/>
            <w:r w:rsidRPr="00A81634">
              <w:rPr>
                <w:rFonts w:ascii="Times New Roman" w:hAnsi="Times New Roman" w:cs="Times New Roman"/>
                <w:sz w:val="18"/>
                <w:szCs w:val="18"/>
              </w:rPr>
              <w:t>'</w:t>
            </w: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ClosHighPartial</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MasksMandatoryClosedSpacesPartial</w:t>
            </w:r>
            <w:proofErr w:type="spellEnd"/>
            <w:r w:rsidRPr="00A81634">
              <w:rPr>
                <w:rFonts w:ascii="Times New Roman" w:hAnsi="Times New Roman" w:cs="Times New Roman"/>
                <w:sz w:val="18"/>
                <w:szCs w:val="18"/>
              </w:rPr>
              <w:t>'</w:t>
            </w:r>
          </w:p>
        </w:tc>
        <w:tc>
          <w:tcPr>
            <w:tcW w:w="2712"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'OutdoorOver1000'</w:t>
            </w:r>
          </w:p>
        </w:tc>
        <w:tc>
          <w:tcPr>
            <w:tcW w:w="2041"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StayHomeGenPartial</w:t>
            </w:r>
            <w:proofErr w:type="spellEnd"/>
            <w:r w:rsidRPr="00A81634">
              <w:rPr>
                <w:rFonts w:ascii="Times New Roman" w:hAnsi="Times New Roman" w:cs="Times New Roman"/>
                <w:sz w:val="18"/>
                <w:szCs w:val="18"/>
              </w:rPr>
              <w:t>'</w:t>
            </w: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ClosPrim</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MasksVoluntaryAllSpaces</w:t>
            </w:r>
            <w:proofErr w:type="spellEnd"/>
            <w:r w:rsidRPr="00A81634">
              <w:rPr>
                <w:rFonts w:ascii="Times New Roman" w:hAnsi="Times New Roman" w:cs="Times New Roman"/>
                <w:sz w:val="18"/>
                <w:szCs w:val="18"/>
              </w:rPr>
              <w:t>'</w:t>
            </w:r>
          </w:p>
        </w:tc>
        <w:tc>
          <w:tcPr>
            <w:tcW w:w="2712"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'OutdoorOver50'</w:t>
            </w:r>
          </w:p>
        </w:tc>
        <w:tc>
          <w:tcPr>
            <w:tcW w:w="2041"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StayHomeOrder</w:t>
            </w:r>
            <w:proofErr w:type="spellEnd"/>
            <w:r w:rsidRPr="00A81634">
              <w:rPr>
                <w:rFonts w:ascii="Times New Roman" w:hAnsi="Times New Roman" w:cs="Times New Roman"/>
                <w:sz w:val="18"/>
                <w:szCs w:val="18"/>
              </w:rPr>
              <w:t>'</w:t>
            </w: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ClosPrimPartial</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MasksVoluntaryAllSpacesPartial</w:t>
            </w:r>
            <w:proofErr w:type="spellEnd"/>
            <w:r w:rsidRPr="00A81634">
              <w:rPr>
                <w:rFonts w:ascii="Times New Roman" w:hAnsi="Times New Roman" w:cs="Times New Roman"/>
                <w:sz w:val="18"/>
                <w:szCs w:val="18"/>
              </w:rPr>
              <w:t>'</w:t>
            </w:r>
          </w:p>
        </w:tc>
        <w:tc>
          <w:tcPr>
            <w:tcW w:w="2712"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'OutdoorOver500'</w:t>
            </w:r>
          </w:p>
        </w:tc>
        <w:tc>
          <w:tcPr>
            <w:tcW w:w="2041"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StayHomeOrderPartial</w:t>
            </w:r>
            <w:proofErr w:type="spellEnd"/>
            <w:r w:rsidRPr="00A81634">
              <w:rPr>
                <w:rFonts w:ascii="Times New Roman" w:hAnsi="Times New Roman" w:cs="Times New Roman"/>
                <w:sz w:val="18"/>
                <w:szCs w:val="18"/>
              </w:rPr>
              <w:t>'</w:t>
            </w: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ClosPubAny</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MasksVoluntaryClosedSpaces</w:t>
            </w:r>
            <w:proofErr w:type="spellEnd"/>
            <w:r w:rsidRPr="00A81634">
              <w:rPr>
                <w:rFonts w:ascii="Times New Roman" w:hAnsi="Times New Roman" w:cs="Times New Roman"/>
                <w:sz w:val="18"/>
                <w:szCs w:val="18"/>
              </w:rPr>
              <w:t>'</w:t>
            </w:r>
          </w:p>
        </w:tc>
        <w:tc>
          <w:tcPr>
            <w:tcW w:w="2712"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PlaceOfWorship</w:t>
            </w:r>
            <w:proofErr w:type="spellEnd"/>
            <w:r w:rsidRPr="00A81634">
              <w:rPr>
                <w:rFonts w:ascii="Times New Roman" w:hAnsi="Times New Roman" w:cs="Times New Roman"/>
                <w:sz w:val="18"/>
                <w:szCs w:val="18"/>
              </w:rPr>
              <w:t>'</w:t>
            </w:r>
          </w:p>
        </w:tc>
        <w:tc>
          <w:tcPr>
            <w:tcW w:w="2041"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StayHomeRiskG</w:t>
            </w:r>
            <w:proofErr w:type="spellEnd"/>
            <w:r w:rsidRPr="00A81634">
              <w:rPr>
                <w:rFonts w:ascii="Times New Roman" w:hAnsi="Times New Roman" w:cs="Times New Roman"/>
                <w:sz w:val="18"/>
                <w:szCs w:val="18"/>
              </w:rPr>
              <w:t>'</w:t>
            </w: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ClosPubAnyPartial</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MasksVoluntaryClosedSpacesPartial</w:t>
            </w:r>
            <w:proofErr w:type="spellEnd"/>
            <w:r w:rsidRPr="00A81634">
              <w:rPr>
                <w:rFonts w:ascii="Times New Roman" w:hAnsi="Times New Roman" w:cs="Times New Roman"/>
                <w:sz w:val="18"/>
                <w:szCs w:val="18"/>
              </w:rPr>
              <w:t>'</w:t>
            </w:r>
          </w:p>
        </w:tc>
        <w:tc>
          <w:tcPr>
            <w:tcW w:w="2712"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PlaceOfWorshipPartial</w:t>
            </w:r>
            <w:proofErr w:type="spellEnd"/>
            <w:r w:rsidRPr="00A81634">
              <w:rPr>
                <w:rFonts w:ascii="Times New Roman" w:hAnsi="Times New Roman" w:cs="Times New Roman"/>
                <w:sz w:val="18"/>
                <w:szCs w:val="18"/>
              </w:rPr>
              <w:t>',</w:t>
            </w:r>
          </w:p>
        </w:tc>
        <w:tc>
          <w:tcPr>
            <w:tcW w:w="2041"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StayHomeRiskGPartial</w:t>
            </w:r>
            <w:proofErr w:type="spellEnd"/>
            <w:r w:rsidRPr="00A81634">
              <w:rPr>
                <w:rFonts w:ascii="Times New Roman" w:hAnsi="Times New Roman" w:cs="Times New Roman"/>
                <w:sz w:val="18"/>
                <w:szCs w:val="18"/>
              </w:rPr>
              <w:t>'</w:t>
            </w: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ClosSec</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p>
        </w:tc>
        <w:tc>
          <w:tcPr>
            <w:tcW w:w="2712"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PrivateGatheringRestrictions</w:t>
            </w:r>
            <w:proofErr w:type="spellEnd"/>
            <w:r w:rsidRPr="00A81634">
              <w:rPr>
                <w:rFonts w:ascii="Times New Roman" w:hAnsi="Times New Roman" w:cs="Times New Roman"/>
                <w:sz w:val="18"/>
                <w:szCs w:val="18"/>
              </w:rPr>
              <w:t>'</w:t>
            </w:r>
          </w:p>
        </w:tc>
        <w:tc>
          <w:tcPr>
            <w:tcW w:w="2041"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'Teleworking'</w:t>
            </w: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ClosSecPartial</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p>
        </w:tc>
        <w:tc>
          <w:tcPr>
            <w:tcW w:w="2712"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PrivateGatheringRestrictionsPartial</w:t>
            </w:r>
            <w:proofErr w:type="spellEnd"/>
            <w:r w:rsidRPr="00A81634">
              <w:rPr>
                <w:rFonts w:ascii="Times New Roman" w:hAnsi="Times New Roman" w:cs="Times New Roman"/>
                <w:sz w:val="18"/>
                <w:szCs w:val="18"/>
              </w:rPr>
              <w:t>',</w:t>
            </w:r>
          </w:p>
        </w:tc>
        <w:tc>
          <w:tcPr>
            <w:tcW w:w="2041"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TeleworkingPartial</w:t>
            </w:r>
            <w:proofErr w:type="spellEnd"/>
            <w:r w:rsidRPr="00A81634">
              <w:rPr>
                <w:rFonts w:ascii="Times New Roman" w:hAnsi="Times New Roman" w:cs="Times New Roman"/>
                <w:sz w:val="18"/>
                <w:szCs w:val="18"/>
              </w:rPr>
              <w:t xml:space="preserve">' </w:t>
            </w: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ClosureOfPublicTransport</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p>
        </w:tc>
        <w:tc>
          <w:tcPr>
            <w:tcW w:w="2712"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QuarantineForInternationalTravellers</w:t>
            </w:r>
            <w:proofErr w:type="spellEnd"/>
            <w:r w:rsidRPr="00A81634">
              <w:rPr>
                <w:rFonts w:ascii="Times New Roman" w:hAnsi="Times New Roman" w:cs="Times New Roman"/>
                <w:sz w:val="18"/>
                <w:szCs w:val="18"/>
              </w:rPr>
              <w:t>'</w:t>
            </w:r>
          </w:p>
        </w:tc>
        <w:tc>
          <w:tcPr>
            <w:tcW w:w="2041"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WorkplaceClosures</w:t>
            </w:r>
            <w:proofErr w:type="spellEnd"/>
            <w:r w:rsidRPr="00A81634">
              <w:rPr>
                <w:rFonts w:ascii="Times New Roman" w:hAnsi="Times New Roman" w:cs="Times New Roman"/>
                <w:sz w:val="18"/>
                <w:szCs w:val="18"/>
              </w:rPr>
              <w:t>'</w:t>
            </w: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ClosureOfPublicTransportPartial</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p>
        </w:tc>
        <w:tc>
          <w:tcPr>
            <w:tcW w:w="2712"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QuarantineForInternationalTravellersPartial</w:t>
            </w:r>
            <w:proofErr w:type="spellEnd"/>
            <w:r w:rsidRPr="00A81634">
              <w:rPr>
                <w:rFonts w:ascii="Times New Roman" w:hAnsi="Times New Roman" w:cs="Times New Roman"/>
                <w:sz w:val="18"/>
                <w:szCs w:val="18"/>
              </w:rPr>
              <w:t>'</w:t>
            </w:r>
          </w:p>
        </w:tc>
        <w:tc>
          <w:tcPr>
            <w:tcW w:w="2041"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WorkplaceClosuresPartial</w:t>
            </w:r>
            <w:proofErr w:type="spellEnd"/>
            <w:r w:rsidRPr="00A81634">
              <w:rPr>
                <w:rFonts w:ascii="Times New Roman" w:hAnsi="Times New Roman" w:cs="Times New Roman"/>
                <w:sz w:val="18"/>
                <w:szCs w:val="18"/>
              </w:rPr>
              <w:t>'</w:t>
            </w: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EntertainmentVenues</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p>
        </w:tc>
        <w:tc>
          <w:tcPr>
            <w:tcW w:w="2712" w:type="dxa"/>
          </w:tcPr>
          <w:p w:rsidR="000D4730" w:rsidRPr="00A81634" w:rsidRDefault="000D4730" w:rsidP="00821F2B">
            <w:pPr>
              <w:jc w:val="both"/>
              <w:rPr>
                <w:rFonts w:ascii="Times New Roman" w:hAnsi="Times New Roman" w:cs="Times New Roman"/>
                <w:sz w:val="18"/>
                <w:szCs w:val="18"/>
              </w:rPr>
            </w:pPr>
          </w:p>
        </w:tc>
        <w:tc>
          <w:tcPr>
            <w:tcW w:w="2041" w:type="dxa"/>
          </w:tcPr>
          <w:p w:rsidR="000D4730" w:rsidRPr="00A81634" w:rsidRDefault="000D4730" w:rsidP="00821F2B">
            <w:pPr>
              <w:jc w:val="both"/>
              <w:rPr>
                <w:rFonts w:ascii="Times New Roman" w:hAnsi="Times New Roman" w:cs="Times New Roman"/>
                <w:sz w:val="18"/>
                <w:szCs w:val="18"/>
              </w:rPr>
            </w:pP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EntertainmentVenuesPartial</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p>
        </w:tc>
        <w:tc>
          <w:tcPr>
            <w:tcW w:w="2712" w:type="dxa"/>
          </w:tcPr>
          <w:p w:rsidR="000D4730" w:rsidRPr="00A81634" w:rsidRDefault="000D4730" w:rsidP="00821F2B">
            <w:pPr>
              <w:jc w:val="both"/>
              <w:rPr>
                <w:rFonts w:ascii="Times New Roman" w:hAnsi="Times New Roman" w:cs="Times New Roman"/>
                <w:sz w:val="18"/>
                <w:szCs w:val="18"/>
              </w:rPr>
            </w:pPr>
          </w:p>
        </w:tc>
        <w:tc>
          <w:tcPr>
            <w:tcW w:w="2041" w:type="dxa"/>
          </w:tcPr>
          <w:p w:rsidR="000D4730" w:rsidRPr="00A81634" w:rsidRDefault="000D4730" w:rsidP="00821F2B">
            <w:pPr>
              <w:jc w:val="both"/>
              <w:rPr>
                <w:rFonts w:ascii="Times New Roman" w:hAnsi="Times New Roman" w:cs="Times New Roman"/>
                <w:sz w:val="18"/>
                <w:szCs w:val="18"/>
              </w:rPr>
            </w:pP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GymsSportsCentres</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p>
        </w:tc>
        <w:tc>
          <w:tcPr>
            <w:tcW w:w="2712" w:type="dxa"/>
          </w:tcPr>
          <w:p w:rsidR="000D4730" w:rsidRPr="00A81634" w:rsidRDefault="000D4730" w:rsidP="00821F2B">
            <w:pPr>
              <w:jc w:val="both"/>
              <w:rPr>
                <w:rFonts w:ascii="Times New Roman" w:hAnsi="Times New Roman" w:cs="Times New Roman"/>
                <w:sz w:val="18"/>
                <w:szCs w:val="18"/>
              </w:rPr>
            </w:pPr>
          </w:p>
        </w:tc>
        <w:tc>
          <w:tcPr>
            <w:tcW w:w="2041" w:type="dxa"/>
          </w:tcPr>
          <w:p w:rsidR="000D4730" w:rsidRPr="00A81634" w:rsidRDefault="000D4730" w:rsidP="00821F2B">
            <w:pPr>
              <w:jc w:val="both"/>
              <w:rPr>
                <w:rFonts w:ascii="Times New Roman" w:hAnsi="Times New Roman" w:cs="Times New Roman"/>
                <w:sz w:val="18"/>
                <w:szCs w:val="18"/>
              </w:rPr>
            </w:pP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GymsSportsCentresPartial</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p>
        </w:tc>
        <w:tc>
          <w:tcPr>
            <w:tcW w:w="2712" w:type="dxa"/>
          </w:tcPr>
          <w:p w:rsidR="000D4730" w:rsidRPr="00A81634" w:rsidRDefault="000D4730" w:rsidP="00821F2B">
            <w:pPr>
              <w:jc w:val="both"/>
              <w:rPr>
                <w:rFonts w:ascii="Times New Roman" w:hAnsi="Times New Roman" w:cs="Times New Roman"/>
                <w:sz w:val="18"/>
                <w:szCs w:val="18"/>
              </w:rPr>
            </w:pPr>
          </w:p>
        </w:tc>
        <w:tc>
          <w:tcPr>
            <w:tcW w:w="2041" w:type="dxa"/>
          </w:tcPr>
          <w:p w:rsidR="000D4730" w:rsidRPr="00A81634" w:rsidRDefault="000D4730" w:rsidP="00821F2B">
            <w:pPr>
              <w:jc w:val="both"/>
              <w:rPr>
                <w:rFonts w:ascii="Times New Roman" w:hAnsi="Times New Roman" w:cs="Times New Roman"/>
                <w:sz w:val="18"/>
                <w:szCs w:val="18"/>
              </w:rPr>
            </w:pP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lastRenderedPageBreak/>
              <w:t>'</w:t>
            </w:r>
            <w:proofErr w:type="spellStart"/>
            <w:r w:rsidRPr="00A81634">
              <w:rPr>
                <w:rFonts w:ascii="Times New Roman" w:hAnsi="Times New Roman" w:cs="Times New Roman"/>
                <w:sz w:val="18"/>
                <w:szCs w:val="18"/>
              </w:rPr>
              <w:t>HotelsOtherAccommodation</w:t>
            </w:r>
            <w:proofErr w:type="spellEnd"/>
            <w:r w:rsidRPr="00A81634">
              <w:rPr>
                <w:rFonts w:ascii="Times New Roman" w:hAnsi="Times New Roman" w:cs="Times New Roman"/>
                <w:sz w:val="18"/>
                <w:szCs w:val="18"/>
              </w:rPr>
              <w:t>'</w:t>
            </w:r>
          </w:p>
        </w:tc>
        <w:tc>
          <w:tcPr>
            <w:tcW w:w="2373" w:type="dxa"/>
          </w:tcPr>
          <w:p w:rsidR="000D4730" w:rsidRPr="00A81634" w:rsidRDefault="000D4730" w:rsidP="00821F2B">
            <w:pPr>
              <w:jc w:val="both"/>
              <w:rPr>
                <w:rFonts w:ascii="Times New Roman" w:hAnsi="Times New Roman" w:cs="Times New Roman"/>
                <w:sz w:val="18"/>
                <w:szCs w:val="18"/>
              </w:rPr>
            </w:pPr>
          </w:p>
        </w:tc>
        <w:tc>
          <w:tcPr>
            <w:tcW w:w="2712" w:type="dxa"/>
          </w:tcPr>
          <w:p w:rsidR="000D4730" w:rsidRPr="00A81634" w:rsidRDefault="000D4730" w:rsidP="00821F2B">
            <w:pPr>
              <w:jc w:val="both"/>
              <w:rPr>
                <w:rFonts w:ascii="Times New Roman" w:hAnsi="Times New Roman" w:cs="Times New Roman"/>
                <w:sz w:val="18"/>
                <w:szCs w:val="18"/>
              </w:rPr>
            </w:pPr>
          </w:p>
        </w:tc>
        <w:tc>
          <w:tcPr>
            <w:tcW w:w="2041" w:type="dxa"/>
          </w:tcPr>
          <w:p w:rsidR="000D4730" w:rsidRPr="00A81634" w:rsidRDefault="000D4730" w:rsidP="00821F2B">
            <w:pPr>
              <w:jc w:val="both"/>
              <w:rPr>
                <w:rFonts w:ascii="Times New Roman" w:hAnsi="Times New Roman" w:cs="Times New Roman"/>
                <w:sz w:val="18"/>
                <w:szCs w:val="18"/>
              </w:rPr>
            </w:pP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r w:rsidRPr="00A81634">
              <w:rPr>
                <w:rFonts w:ascii="Times New Roman" w:hAnsi="Times New Roman" w:cs="Times New Roman"/>
                <w:sz w:val="18"/>
                <w:szCs w:val="18"/>
              </w:rPr>
              <w:t>'</w:t>
            </w:r>
            <w:proofErr w:type="spellStart"/>
            <w:r w:rsidRPr="00A81634">
              <w:rPr>
                <w:rFonts w:ascii="Times New Roman" w:hAnsi="Times New Roman" w:cs="Times New Roman"/>
                <w:sz w:val="18"/>
                <w:szCs w:val="18"/>
              </w:rPr>
              <w:t>HotelsOtherAccommodationPartial</w:t>
            </w:r>
            <w:proofErr w:type="spellEnd"/>
            <w:r w:rsidRPr="00A81634">
              <w:rPr>
                <w:rFonts w:ascii="Times New Roman" w:hAnsi="Times New Roman" w:cs="Times New Roman"/>
                <w:sz w:val="18"/>
                <w:szCs w:val="18"/>
              </w:rPr>
              <w:t>'</w:t>
            </w:r>
          </w:p>
          <w:p w:rsidR="000D4730" w:rsidRPr="00A81634" w:rsidRDefault="000D4730" w:rsidP="00821F2B">
            <w:pPr>
              <w:jc w:val="both"/>
              <w:rPr>
                <w:rFonts w:ascii="Times New Roman" w:hAnsi="Times New Roman" w:cs="Times New Roman"/>
                <w:sz w:val="18"/>
                <w:szCs w:val="18"/>
              </w:rPr>
            </w:pPr>
          </w:p>
        </w:tc>
        <w:tc>
          <w:tcPr>
            <w:tcW w:w="2373" w:type="dxa"/>
          </w:tcPr>
          <w:p w:rsidR="000D4730" w:rsidRPr="00A81634" w:rsidRDefault="000D4730" w:rsidP="00821F2B">
            <w:pPr>
              <w:jc w:val="both"/>
              <w:rPr>
                <w:rFonts w:ascii="Times New Roman" w:hAnsi="Times New Roman" w:cs="Times New Roman"/>
                <w:sz w:val="18"/>
                <w:szCs w:val="18"/>
              </w:rPr>
            </w:pPr>
          </w:p>
        </w:tc>
        <w:tc>
          <w:tcPr>
            <w:tcW w:w="2712" w:type="dxa"/>
          </w:tcPr>
          <w:p w:rsidR="000D4730" w:rsidRPr="00A81634" w:rsidRDefault="000D4730" w:rsidP="00821F2B">
            <w:pPr>
              <w:jc w:val="both"/>
              <w:rPr>
                <w:rFonts w:ascii="Times New Roman" w:hAnsi="Times New Roman" w:cs="Times New Roman"/>
                <w:sz w:val="18"/>
                <w:szCs w:val="18"/>
              </w:rPr>
            </w:pPr>
          </w:p>
        </w:tc>
        <w:tc>
          <w:tcPr>
            <w:tcW w:w="2041" w:type="dxa"/>
          </w:tcPr>
          <w:p w:rsidR="000D4730" w:rsidRPr="00A81634" w:rsidRDefault="000D4730" w:rsidP="00821F2B">
            <w:pPr>
              <w:jc w:val="both"/>
              <w:rPr>
                <w:rFonts w:ascii="Times New Roman" w:hAnsi="Times New Roman" w:cs="Times New Roman"/>
                <w:sz w:val="18"/>
                <w:szCs w:val="18"/>
              </w:rPr>
            </w:pPr>
          </w:p>
        </w:tc>
      </w:tr>
      <w:tr w:rsidR="000D4730" w:rsidRPr="00A81634" w:rsidTr="00821F2B">
        <w:tc>
          <w:tcPr>
            <w:tcW w:w="2234" w:type="dxa"/>
          </w:tcPr>
          <w:p w:rsidR="000D4730" w:rsidRPr="00A81634" w:rsidRDefault="000D4730" w:rsidP="00821F2B">
            <w:pPr>
              <w:jc w:val="both"/>
              <w:rPr>
                <w:rFonts w:ascii="Times New Roman" w:hAnsi="Times New Roman" w:cs="Times New Roman"/>
                <w:sz w:val="18"/>
                <w:szCs w:val="18"/>
              </w:rPr>
            </w:pPr>
          </w:p>
        </w:tc>
        <w:tc>
          <w:tcPr>
            <w:tcW w:w="2373" w:type="dxa"/>
          </w:tcPr>
          <w:p w:rsidR="000D4730" w:rsidRPr="00A81634" w:rsidRDefault="000D4730" w:rsidP="00821F2B">
            <w:pPr>
              <w:jc w:val="both"/>
              <w:rPr>
                <w:rFonts w:ascii="Times New Roman" w:hAnsi="Times New Roman" w:cs="Times New Roman"/>
                <w:sz w:val="18"/>
                <w:szCs w:val="18"/>
              </w:rPr>
            </w:pPr>
          </w:p>
        </w:tc>
        <w:tc>
          <w:tcPr>
            <w:tcW w:w="2712" w:type="dxa"/>
          </w:tcPr>
          <w:p w:rsidR="000D4730" w:rsidRPr="00A81634" w:rsidRDefault="000D4730" w:rsidP="00821F2B">
            <w:pPr>
              <w:jc w:val="both"/>
              <w:rPr>
                <w:rFonts w:ascii="Times New Roman" w:hAnsi="Times New Roman" w:cs="Times New Roman"/>
                <w:sz w:val="18"/>
                <w:szCs w:val="18"/>
              </w:rPr>
            </w:pPr>
          </w:p>
        </w:tc>
        <w:tc>
          <w:tcPr>
            <w:tcW w:w="2041" w:type="dxa"/>
          </w:tcPr>
          <w:p w:rsidR="000D4730" w:rsidRPr="00A81634" w:rsidRDefault="000D4730" w:rsidP="00821F2B">
            <w:pPr>
              <w:jc w:val="both"/>
              <w:rPr>
                <w:rFonts w:ascii="Times New Roman" w:hAnsi="Times New Roman" w:cs="Times New Roman"/>
                <w:sz w:val="18"/>
                <w:szCs w:val="18"/>
              </w:rPr>
            </w:pPr>
          </w:p>
        </w:tc>
      </w:tr>
    </w:tbl>
    <w:p w:rsidR="000D4730" w:rsidRDefault="000D4730" w:rsidP="00AF6987">
      <w:pPr>
        <w:spacing w:line="360" w:lineRule="auto"/>
        <w:jc w:val="both"/>
        <w:rPr>
          <w:rFonts w:ascii="Times New Roman" w:hAnsi="Times New Roman" w:cs="Times New Roman"/>
          <w:sz w:val="20"/>
          <w:szCs w:val="20"/>
        </w:rPr>
      </w:pPr>
      <w:r w:rsidRPr="009872B0">
        <w:rPr>
          <w:rFonts w:ascii="Times New Roman" w:hAnsi="Times New Roman" w:cs="Times New Roman"/>
          <w:sz w:val="20"/>
          <w:szCs w:val="20"/>
        </w:rPr>
        <w:t xml:space="preserve">Table 3: </w:t>
      </w:r>
      <w:r>
        <w:rPr>
          <w:rFonts w:ascii="Times New Roman" w:hAnsi="Times New Roman" w:cs="Times New Roman"/>
          <w:sz w:val="20"/>
          <w:szCs w:val="20"/>
        </w:rPr>
        <w:t>NPIs</w:t>
      </w:r>
    </w:p>
    <w:p w:rsidR="000831F6" w:rsidRDefault="00384DAA" w:rsidP="00A53484">
      <w:pPr>
        <w:spacing w:line="360" w:lineRule="auto"/>
        <w:jc w:val="both"/>
        <w:rPr>
          <w:rFonts w:ascii="Times New Roman" w:hAnsi="Times New Roman" w:cs="Times New Roman"/>
          <w:sz w:val="24"/>
          <w:szCs w:val="24"/>
        </w:rPr>
      </w:pPr>
      <w:r w:rsidRPr="009872B0">
        <w:rPr>
          <w:rFonts w:ascii="Times New Roman" w:hAnsi="Times New Roman" w:cs="Times New Roman"/>
          <w:sz w:val="24"/>
          <w:szCs w:val="24"/>
        </w:rPr>
        <w:t xml:space="preserve">The vaccination data is </w:t>
      </w:r>
      <w:r>
        <w:rPr>
          <w:rFonts w:ascii="Times New Roman" w:hAnsi="Times New Roman" w:cs="Times New Roman"/>
          <w:sz w:val="24"/>
          <w:szCs w:val="24"/>
        </w:rPr>
        <w:t>elaborated through</w:t>
      </w:r>
      <w:r w:rsidRPr="009872B0">
        <w:rPr>
          <w:rFonts w:ascii="Times New Roman" w:hAnsi="Times New Roman" w:cs="Times New Roman"/>
          <w:sz w:val="24"/>
          <w:szCs w:val="24"/>
        </w:rPr>
        <w:t xml:space="preserve"> computing the accumulated percentage numbers of each of the first 5 vaccine doses received by the population of each corresponded country</w:t>
      </w:r>
      <w:r>
        <w:rPr>
          <w:rFonts w:ascii="Times New Roman" w:hAnsi="Times New Roman" w:cs="Times New Roman"/>
          <w:sz w:val="24"/>
          <w:szCs w:val="24"/>
        </w:rPr>
        <w:t xml:space="preserve"> in each day</w:t>
      </w:r>
      <w:r w:rsidRPr="009872B0">
        <w:rPr>
          <w:rFonts w:ascii="Times New Roman" w:hAnsi="Times New Roman" w:cs="Times New Roman"/>
          <w:sz w:val="24"/>
          <w:szCs w:val="24"/>
        </w:rPr>
        <w:t>.</w:t>
      </w:r>
      <w:r>
        <w:rPr>
          <w:rFonts w:ascii="Times New Roman" w:hAnsi="Times New Roman" w:cs="Times New Roman"/>
          <w:sz w:val="24"/>
          <w:szCs w:val="24"/>
        </w:rPr>
        <w:t xml:space="preserve"> The pre vaccination time period</w:t>
      </w:r>
      <w:r w:rsidR="002A6440">
        <w:rPr>
          <w:rFonts w:ascii="Times New Roman" w:hAnsi="Times New Roman" w:cs="Times New Roman"/>
          <w:sz w:val="24"/>
          <w:szCs w:val="24"/>
        </w:rPr>
        <w:t xml:space="preserve"> (where the value for the first dose is equal to zero)</w:t>
      </w:r>
      <w:r>
        <w:rPr>
          <w:rFonts w:ascii="Times New Roman" w:hAnsi="Times New Roman" w:cs="Times New Roman"/>
          <w:sz w:val="24"/>
          <w:szCs w:val="24"/>
        </w:rPr>
        <w:t xml:space="preserve"> and the post vaccination time period</w:t>
      </w:r>
      <w:r w:rsidR="002A6440">
        <w:rPr>
          <w:rFonts w:ascii="Times New Roman" w:hAnsi="Times New Roman" w:cs="Times New Roman"/>
          <w:sz w:val="24"/>
          <w:szCs w:val="24"/>
        </w:rPr>
        <w:t xml:space="preserve"> (</w:t>
      </w:r>
      <w:r w:rsidR="002A6440">
        <w:rPr>
          <w:rFonts w:ascii="Times New Roman" w:hAnsi="Times New Roman" w:cs="Times New Roman"/>
          <w:sz w:val="24"/>
          <w:szCs w:val="24"/>
        </w:rPr>
        <w:t xml:space="preserve">where the value for </w:t>
      </w:r>
      <w:r w:rsidR="002A6440">
        <w:rPr>
          <w:rFonts w:ascii="Times New Roman" w:hAnsi="Times New Roman" w:cs="Times New Roman"/>
          <w:sz w:val="24"/>
          <w:szCs w:val="24"/>
        </w:rPr>
        <w:t xml:space="preserve">the </w:t>
      </w:r>
      <w:r w:rsidR="002A6440">
        <w:rPr>
          <w:rFonts w:ascii="Times New Roman" w:hAnsi="Times New Roman" w:cs="Times New Roman"/>
          <w:sz w:val="24"/>
          <w:szCs w:val="24"/>
        </w:rPr>
        <w:t xml:space="preserve">first dose </w:t>
      </w:r>
      <w:r w:rsidR="002A6440">
        <w:rPr>
          <w:rFonts w:ascii="Times New Roman" w:hAnsi="Times New Roman" w:cs="Times New Roman"/>
          <w:sz w:val="24"/>
          <w:szCs w:val="24"/>
        </w:rPr>
        <w:t>is larger than zero)</w:t>
      </w:r>
      <w:r>
        <w:rPr>
          <w:rFonts w:ascii="Times New Roman" w:hAnsi="Times New Roman" w:cs="Times New Roman"/>
          <w:sz w:val="24"/>
          <w:szCs w:val="24"/>
        </w:rPr>
        <w:t xml:space="preserve"> are distinguished for each country’s data</w:t>
      </w:r>
      <w:r w:rsidR="00245CB3">
        <w:rPr>
          <w:rFonts w:ascii="Times New Roman" w:hAnsi="Times New Roman" w:cs="Times New Roman"/>
          <w:sz w:val="24"/>
          <w:szCs w:val="24"/>
        </w:rPr>
        <w:t xml:space="preserve"> in a column named </w:t>
      </w:r>
      <w:proofErr w:type="spellStart"/>
      <w:r w:rsidR="00245CB3" w:rsidRPr="00245CB3">
        <w:rPr>
          <w:rFonts w:ascii="Times New Roman" w:hAnsi="Times New Roman" w:cs="Times New Roman"/>
          <w:i/>
          <w:iCs/>
          <w:sz w:val="24"/>
          <w:szCs w:val="24"/>
        </w:rPr>
        <w:t>vaccination_modus</w:t>
      </w:r>
      <w:proofErr w:type="spellEnd"/>
      <w:r>
        <w:rPr>
          <w:rFonts w:ascii="Times New Roman" w:hAnsi="Times New Roman" w:cs="Times New Roman"/>
          <w:sz w:val="24"/>
          <w:szCs w:val="24"/>
        </w:rPr>
        <w:t xml:space="preserve">. </w:t>
      </w:r>
      <w:r w:rsidRPr="009872B0">
        <w:rPr>
          <w:rFonts w:ascii="Times New Roman" w:hAnsi="Times New Roman" w:cs="Times New Roman"/>
          <w:sz w:val="24"/>
          <w:szCs w:val="24"/>
        </w:rPr>
        <w:t xml:space="preserve"> Each virus variant is presented within a day and a country through the percentage it is sequenced. Hence, the sum of percentage values of all virus variants in a country within each day is equal to 1.</w:t>
      </w:r>
      <w:r w:rsidRPr="009872B0">
        <w:rPr>
          <w:rStyle w:val="FootnoteReference"/>
          <w:rFonts w:ascii="Times New Roman" w:hAnsi="Times New Roman" w:cs="Times New Roman"/>
          <w:sz w:val="24"/>
          <w:szCs w:val="24"/>
        </w:rPr>
        <w:footnoteReference w:id="6"/>
      </w:r>
      <w:r w:rsidRPr="009872B0">
        <w:rPr>
          <w:rFonts w:ascii="Times New Roman" w:hAnsi="Times New Roman" w:cs="Times New Roman"/>
          <w:sz w:val="24"/>
          <w:szCs w:val="24"/>
        </w:rPr>
        <w:t xml:space="preserve"> </w:t>
      </w:r>
      <w:r>
        <w:rPr>
          <w:rFonts w:ascii="Times New Roman" w:hAnsi="Times New Roman" w:cs="Times New Roman"/>
          <w:sz w:val="24"/>
          <w:szCs w:val="24"/>
        </w:rPr>
        <w:t xml:space="preserve">The dominant virus variant in each country </w:t>
      </w:r>
      <w:r w:rsidR="00AF6987">
        <w:rPr>
          <w:rFonts w:ascii="Times New Roman" w:hAnsi="Times New Roman" w:cs="Times New Roman"/>
          <w:sz w:val="24"/>
          <w:szCs w:val="24"/>
        </w:rPr>
        <w:t xml:space="preserve">and </w:t>
      </w:r>
      <w:r>
        <w:rPr>
          <w:rFonts w:ascii="Times New Roman" w:hAnsi="Times New Roman" w:cs="Times New Roman"/>
          <w:sz w:val="24"/>
          <w:szCs w:val="24"/>
        </w:rPr>
        <w:t>each day is defined as the virus variant with the highest sequenced percentage and owns its own column</w:t>
      </w:r>
      <w:r w:rsidR="00AF6987">
        <w:rPr>
          <w:rFonts w:ascii="Times New Roman" w:hAnsi="Times New Roman" w:cs="Times New Roman"/>
          <w:sz w:val="24"/>
          <w:szCs w:val="24"/>
        </w:rPr>
        <w:t xml:space="preserve"> named </w:t>
      </w:r>
      <w:proofErr w:type="spellStart"/>
      <w:r w:rsidR="00AF6987" w:rsidRPr="00AF6987">
        <w:rPr>
          <w:rFonts w:ascii="Times New Roman" w:hAnsi="Times New Roman" w:cs="Times New Roman"/>
          <w:i/>
          <w:iCs/>
          <w:sz w:val="24"/>
          <w:szCs w:val="24"/>
        </w:rPr>
        <w:t>dominant_virus</w:t>
      </w:r>
      <w:proofErr w:type="spellEnd"/>
      <w:r>
        <w:rPr>
          <w:rFonts w:ascii="Times New Roman" w:hAnsi="Times New Roman" w:cs="Times New Roman"/>
          <w:sz w:val="24"/>
          <w:szCs w:val="24"/>
        </w:rPr>
        <w:t xml:space="preserve"> within the </w:t>
      </w:r>
      <w:proofErr w:type="spellStart"/>
      <w:r w:rsidRPr="009872B0">
        <w:rPr>
          <w:rFonts w:ascii="Times New Roman" w:hAnsi="Times New Roman" w:cs="Times New Roman"/>
          <w:i/>
          <w:iCs/>
          <w:sz w:val="24"/>
          <w:szCs w:val="24"/>
        </w:rPr>
        <w:t>data_encoded</w:t>
      </w:r>
      <w:proofErr w:type="spellEnd"/>
      <w:r w:rsidR="00C86F79">
        <w:rPr>
          <w:rFonts w:ascii="Times New Roman" w:hAnsi="Times New Roman" w:cs="Times New Roman"/>
          <w:sz w:val="24"/>
          <w:szCs w:val="24"/>
        </w:rPr>
        <w:t>.</w:t>
      </w:r>
      <w:r w:rsidR="000831F6">
        <w:rPr>
          <w:rFonts w:ascii="Times New Roman" w:hAnsi="Times New Roman" w:cs="Times New Roman"/>
          <w:sz w:val="24"/>
          <w:szCs w:val="24"/>
        </w:rPr>
        <w:t xml:space="preserve"> The most frequently observed dominant virus types in the table are </w:t>
      </w:r>
      <w:r w:rsidR="000831F6" w:rsidRPr="000831F6">
        <w:rPr>
          <w:rFonts w:ascii="Times New Roman" w:hAnsi="Times New Roman" w:cs="Times New Roman"/>
          <w:i/>
          <w:iCs/>
          <w:sz w:val="24"/>
          <w:szCs w:val="24"/>
        </w:rPr>
        <w:t>B.1.617.2</w:t>
      </w:r>
      <w:r w:rsidR="000831F6">
        <w:rPr>
          <w:rFonts w:ascii="Times New Roman" w:hAnsi="Times New Roman" w:cs="Times New Roman"/>
          <w:sz w:val="24"/>
          <w:szCs w:val="24"/>
        </w:rPr>
        <w:t xml:space="preserve">, </w:t>
      </w:r>
      <w:r w:rsidR="000831F6" w:rsidRPr="000831F6">
        <w:rPr>
          <w:rFonts w:ascii="Times New Roman" w:hAnsi="Times New Roman" w:cs="Times New Roman"/>
          <w:i/>
          <w:iCs/>
          <w:sz w:val="24"/>
          <w:szCs w:val="24"/>
        </w:rPr>
        <w:t>B.1.1.7</w:t>
      </w:r>
      <w:r w:rsidR="000831F6">
        <w:rPr>
          <w:rFonts w:ascii="Times New Roman" w:hAnsi="Times New Roman" w:cs="Times New Roman"/>
          <w:sz w:val="24"/>
          <w:szCs w:val="24"/>
        </w:rPr>
        <w:t xml:space="preserve"> and </w:t>
      </w:r>
      <w:r w:rsidR="000831F6" w:rsidRPr="000831F6">
        <w:rPr>
          <w:rFonts w:ascii="Times New Roman" w:hAnsi="Times New Roman" w:cs="Times New Roman"/>
          <w:i/>
          <w:iCs/>
          <w:sz w:val="24"/>
          <w:szCs w:val="24"/>
        </w:rPr>
        <w:t>BA.2</w:t>
      </w:r>
      <w:r w:rsidR="000831F6">
        <w:rPr>
          <w:rFonts w:ascii="Times New Roman" w:hAnsi="Times New Roman" w:cs="Times New Roman"/>
          <w:sz w:val="24"/>
          <w:szCs w:val="24"/>
        </w:rPr>
        <w:t>.</w:t>
      </w:r>
      <w:r w:rsidR="00A53484">
        <w:rPr>
          <w:rFonts w:ascii="Times New Roman" w:hAnsi="Times New Roman" w:cs="Times New Roman"/>
          <w:sz w:val="24"/>
          <w:szCs w:val="24"/>
        </w:rPr>
        <w:t xml:space="preserve"> </w:t>
      </w:r>
    </w:p>
    <w:p w:rsidR="00384DAA" w:rsidRPr="00D57A3D" w:rsidRDefault="00040B9A" w:rsidP="00AF6987">
      <w:pPr>
        <w:spacing w:line="360" w:lineRule="auto"/>
        <w:jc w:val="both"/>
        <w:rPr>
          <w:rFonts w:ascii="Times New Roman" w:hAnsi="Times New Roman" w:cs="Times New Roman"/>
          <w:sz w:val="24"/>
          <w:szCs w:val="24"/>
        </w:rPr>
      </w:pPr>
      <w:r>
        <w:rPr>
          <w:rFonts w:ascii="Times New Roman" w:hAnsi="Times New Roman" w:cs="Times New Roman"/>
          <w:sz w:val="24"/>
          <w:szCs w:val="24"/>
        </w:rPr>
        <w:t>F</w:t>
      </w:r>
      <w:r w:rsidR="00D57A3D">
        <w:rPr>
          <w:rFonts w:ascii="Times New Roman" w:hAnsi="Times New Roman" w:cs="Times New Roman"/>
          <w:sz w:val="24"/>
          <w:szCs w:val="24"/>
        </w:rPr>
        <w:t>urthermore</w:t>
      </w:r>
      <w:r w:rsidR="00325FE8">
        <w:rPr>
          <w:rFonts w:ascii="Times New Roman" w:hAnsi="Times New Roman" w:cs="Times New Roman"/>
          <w:sz w:val="24"/>
          <w:szCs w:val="24"/>
        </w:rPr>
        <w:t>,</w:t>
      </w:r>
      <w:r w:rsidR="00D57A3D">
        <w:rPr>
          <w:rFonts w:ascii="Times New Roman" w:hAnsi="Times New Roman" w:cs="Times New Roman"/>
          <w:sz w:val="24"/>
          <w:szCs w:val="24"/>
        </w:rPr>
        <w:t xml:space="preserve"> 7 days’ average backward and 7 days’ average forward incidences d</w:t>
      </w:r>
      <w:r w:rsidR="006D62C9">
        <w:rPr>
          <w:rFonts w:ascii="Times New Roman" w:hAnsi="Times New Roman" w:cs="Times New Roman"/>
          <w:sz w:val="24"/>
          <w:szCs w:val="24"/>
        </w:rPr>
        <w:t>escribed in section 3</w:t>
      </w:r>
      <w:r w:rsidR="00D57A3D">
        <w:rPr>
          <w:rFonts w:ascii="Times New Roman" w:hAnsi="Times New Roman" w:cs="Times New Roman"/>
          <w:sz w:val="24"/>
          <w:szCs w:val="24"/>
        </w:rPr>
        <w:t xml:space="preserve">.1 at any arbitrary day </w:t>
      </w:r>
      <w:proofErr w:type="spellStart"/>
      <w:r w:rsidR="00D57A3D">
        <w:rPr>
          <w:rFonts w:ascii="Times New Roman" w:hAnsi="Times New Roman" w:cs="Times New Roman"/>
          <w:i/>
          <w:iCs/>
          <w:sz w:val="24"/>
          <w:szCs w:val="24"/>
        </w:rPr>
        <w:t>i</w:t>
      </w:r>
      <w:proofErr w:type="spellEnd"/>
      <w:r w:rsidR="00D57A3D">
        <w:rPr>
          <w:rFonts w:ascii="Times New Roman" w:hAnsi="Times New Roman" w:cs="Times New Roman"/>
          <w:i/>
          <w:iCs/>
          <w:sz w:val="24"/>
          <w:szCs w:val="24"/>
        </w:rPr>
        <w:t xml:space="preserve"> </w:t>
      </w:r>
      <w:r w:rsidR="00D57A3D">
        <w:rPr>
          <w:rFonts w:ascii="Times New Roman" w:hAnsi="Times New Roman" w:cs="Times New Roman"/>
          <w:sz w:val="24"/>
          <w:szCs w:val="24"/>
        </w:rPr>
        <w:t>for each country</w:t>
      </w:r>
      <w:r>
        <w:rPr>
          <w:rFonts w:ascii="Times New Roman" w:hAnsi="Times New Roman" w:cs="Times New Roman"/>
          <w:sz w:val="24"/>
          <w:szCs w:val="24"/>
        </w:rPr>
        <w:t xml:space="preserve"> are integrated into the </w:t>
      </w:r>
      <w:proofErr w:type="spellStart"/>
      <w:r w:rsidRPr="009872B0">
        <w:rPr>
          <w:rFonts w:ascii="Times New Roman" w:hAnsi="Times New Roman" w:cs="Times New Roman"/>
          <w:i/>
          <w:iCs/>
          <w:sz w:val="24"/>
          <w:szCs w:val="24"/>
        </w:rPr>
        <w:t>data_encoded</w:t>
      </w:r>
      <w:proofErr w:type="spellEnd"/>
      <w:r w:rsidR="00D57A3D">
        <w:rPr>
          <w:rFonts w:ascii="Times New Roman" w:hAnsi="Times New Roman" w:cs="Times New Roman"/>
          <w:sz w:val="24"/>
          <w:szCs w:val="24"/>
        </w:rPr>
        <w:t>.</w:t>
      </w:r>
    </w:p>
    <w:p w:rsidR="008A6B28" w:rsidRDefault="002203BB">
      <w:pPr>
        <w:pStyle w:val="Heading3"/>
        <w:rPr>
          <w:rFonts w:ascii="Times New Roman" w:hAnsi="Times New Roman" w:cs="Times New Roman"/>
          <w:sz w:val="24"/>
          <w:szCs w:val="24"/>
        </w:rPr>
      </w:pPr>
      <w:r>
        <w:rPr>
          <w:rFonts w:ascii="Times New Roman" w:hAnsi="Times New Roman" w:cs="Times New Roman"/>
          <w:sz w:val="24"/>
          <w:szCs w:val="24"/>
        </w:rPr>
        <w:t>3.3</w:t>
      </w:r>
      <w:r w:rsidR="00DF2F8E">
        <w:rPr>
          <w:rFonts w:ascii="Times New Roman" w:hAnsi="Times New Roman" w:cs="Times New Roman"/>
          <w:sz w:val="24"/>
          <w:szCs w:val="24"/>
        </w:rPr>
        <w:t xml:space="preserve"> </w:t>
      </w:r>
      <w:r w:rsidR="001F7554">
        <w:rPr>
          <w:rFonts w:ascii="Times New Roman" w:hAnsi="Times New Roman" w:cs="Times New Roman"/>
          <w:sz w:val="24"/>
          <w:szCs w:val="24"/>
        </w:rPr>
        <w:t xml:space="preserve">Basic </w:t>
      </w:r>
      <w:r w:rsidR="00DF2F8E">
        <w:rPr>
          <w:rFonts w:ascii="Times New Roman" w:hAnsi="Times New Roman" w:cs="Times New Roman"/>
          <w:sz w:val="24"/>
          <w:szCs w:val="24"/>
        </w:rPr>
        <w:t>Bayes model</w:t>
      </w:r>
    </w:p>
    <w:p w:rsidR="008A6B28" w:rsidRDefault="005A71DF" w:rsidP="00733C7E">
      <w:pPr>
        <w:pStyle w:val="FootnoteText"/>
        <w:spacing w:line="360" w:lineRule="auto"/>
        <w:jc w:val="both"/>
        <w:rPr>
          <w:rFonts w:ascii="Times New Roman" w:hAnsi="Times New Roman" w:cs="Times New Roman"/>
          <w:sz w:val="24"/>
          <w:szCs w:val="24"/>
        </w:rPr>
      </w:pPr>
      <w:r>
        <w:rPr>
          <w:rFonts w:ascii="Times New Roman" w:hAnsi="Times New Roman" w:cs="Times New Roman"/>
          <w:sz w:val="24"/>
          <w:szCs w:val="24"/>
        </w:rPr>
        <w:t>In our study, t</w:t>
      </w:r>
      <w:r w:rsidR="003933BE">
        <w:rPr>
          <w:rFonts w:ascii="Times New Roman" w:hAnsi="Times New Roman" w:cs="Times New Roman"/>
          <w:sz w:val="24"/>
          <w:szCs w:val="24"/>
        </w:rPr>
        <w:t>he distribution</w:t>
      </w:r>
      <w:r w:rsidR="00DF2F8E">
        <w:rPr>
          <w:rFonts w:ascii="Times New Roman" w:hAnsi="Times New Roman" w:cs="Times New Roman"/>
          <w:sz w:val="24"/>
          <w:szCs w:val="24"/>
        </w:rPr>
        <w:t xml:space="preserve"> of</w:t>
      </w:r>
      <w:r w:rsidR="001F7554">
        <w:rPr>
          <w:rFonts w:ascii="Times New Roman" w:hAnsi="Times New Roman" w:cs="Times New Roman"/>
          <w:sz w:val="24"/>
          <w:szCs w:val="24"/>
        </w:rPr>
        <w:t xml:space="preserve"> the growth rate</w:t>
      </w:r>
      <w:r w:rsidR="00DF2F8E">
        <w:rPr>
          <w:rFonts w:ascii="Times New Roman" w:hAnsi="Times New Roman" w:cs="Times New Roman"/>
          <w:sz w:val="24"/>
          <w:szCs w:val="24"/>
        </w:rPr>
        <w:t xml:space="preserve"> </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oMath>
      <w:r w:rsidR="00DF2F8E">
        <w:rPr>
          <w:rFonts w:ascii="Times New Roman" w:hAnsi="Times New Roman" w:cs="Times New Roman"/>
          <w:sz w:val="24"/>
          <w:szCs w:val="24"/>
        </w:rPr>
        <w:t xml:space="preserve"> conditioned to a </w:t>
      </w:r>
      <w:r w:rsidR="00790378">
        <w:rPr>
          <w:rFonts w:ascii="Times New Roman" w:hAnsi="Times New Roman" w:cs="Times New Roman"/>
          <w:sz w:val="24"/>
          <w:szCs w:val="24"/>
        </w:rPr>
        <w:t>distinct</w:t>
      </w:r>
      <w:r w:rsidR="001F7554">
        <w:rPr>
          <w:rFonts w:ascii="Times New Roman" w:hAnsi="Times New Roman" w:cs="Times New Roman"/>
          <w:sz w:val="24"/>
          <w:szCs w:val="24"/>
        </w:rPr>
        <w:t xml:space="preserve"> </w:t>
      </w:r>
      <w:r w:rsidR="00733C7E">
        <w:rPr>
          <w:rFonts w:ascii="Times New Roman" w:hAnsi="Times New Roman" w:cs="Times New Roman"/>
          <w:sz w:val="24"/>
          <w:szCs w:val="24"/>
        </w:rPr>
        <w:t>SARS-CoV-2</w:t>
      </w:r>
      <w:r w:rsidR="00733C7E">
        <w:rPr>
          <w:rFonts w:ascii="Times New Roman" w:hAnsi="Times New Roman" w:cs="Times New Roman"/>
          <w:sz w:val="24"/>
          <w:szCs w:val="24"/>
        </w:rPr>
        <w:t xml:space="preserve"> explanatory factor</w:t>
      </w:r>
      <w:r w:rsidR="00DF2F8E">
        <w:rPr>
          <w:rFonts w:ascii="Times New Roman" w:hAnsi="Times New Roman" w:cs="Times New Roman"/>
          <w:sz w:val="24"/>
          <w:szCs w:val="24"/>
        </w:rPr>
        <w:t xml:space="preserve"> </w:t>
      </w:r>
      <w:r w:rsidR="00733C7E">
        <w:rPr>
          <w:rFonts w:ascii="Times New Roman" w:hAnsi="Times New Roman" w:cs="Times New Roman"/>
          <w:i/>
          <w:iCs/>
          <w:sz w:val="24"/>
          <w:szCs w:val="24"/>
        </w:rPr>
        <w:t>E</w:t>
      </w:r>
      <w:r w:rsidR="00DF2F8E">
        <w:rPr>
          <w:rFonts w:ascii="Times New Roman" w:hAnsi="Times New Roman" w:cs="Times New Roman"/>
          <w:sz w:val="24"/>
          <w:szCs w:val="24"/>
        </w:rPr>
        <w:t xml:space="preserve"> </w:t>
      </w:r>
      <w:r w:rsidR="003933BE">
        <w:rPr>
          <w:rFonts w:ascii="Times New Roman" w:hAnsi="Times New Roman" w:cs="Times New Roman"/>
          <w:sz w:val="24"/>
          <w:szCs w:val="24"/>
        </w:rPr>
        <w:t xml:space="preserve">is computed in </w:t>
      </w:r>
      <w:r w:rsidR="00DF2F8E">
        <w:rPr>
          <w:rStyle w:val="markedcontent"/>
          <w:rFonts w:ascii="Times New Roman" w:hAnsi="Times New Roman" w:cs="Times New Roman"/>
          <w:sz w:val="24"/>
          <w:szCs w:val="24"/>
        </w:rPr>
        <w:t xml:space="preserve">accordance with the Bayes </w:t>
      </w:r>
      <w:r w:rsidR="00E63FB0">
        <w:rPr>
          <w:rStyle w:val="markedcontent"/>
          <w:rFonts w:ascii="Times New Roman" w:hAnsi="Times New Roman" w:cs="Times New Roman"/>
          <w:sz w:val="24"/>
          <w:szCs w:val="24"/>
        </w:rPr>
        <w:t>theorem</w:t>
      </w:r>
      <w:r w:rsidR="00DF2F8E">
        <w:rPr>
          <w:rStyle w:val="markedcontent"/>
          <w:rFonts w:ascii="Times New Roman" w:hAnsi="Times New Roman" w:cs="Times New Roman"/>
          <w:sz w:val="24"/>
          <w:szCs w:val="24"/>
        </w:rPr>
        <w:t xml:space="preserve"> explained in </w:t>
      </w:r>
      <w:r w:rsidR="00DF2F8E" w:rsidRPr="00E63FB0">
        <w:rPr>
          <w:rFonts w:ascii="Times New Roman" w:hAnsi="Times New Roman" w:cs="Times New Roman"/>
          <w:sz w:val="24"/>
          <w:szCs w:val="24"/>
        </w:rPr>
        <w:t>Bishop (2006</w:t>
      </w:r>
      <w:r w:rsidR="00DF2F8E">
        <w:rPr>
          <w:rFonts w:ascii="Times New Roman" w:hAnsi="Times New Roman" w:cs="Times New Roman"/>
          <w:sz w:val="24"/>
          <w:szCs w:val="24"/>
        </w:rPr>
        <w:t>)</w:t>
      </w:r>
      <w:r w:rsidR="00DF2F8E">
        <w:rPr>
          <w:rStyle w:val="markedcontent"/>
          <w:rFonts w:ascii="Times New Roman" w:hAnsi="Times New Roman" w:cs="Times New Roman"/>
          <w:sz w:val="24"/>
          <w:szCs w:val="24"/>
        </w:rPr>
        <w:t xml:space="preserve"> as expressed in the equation (4):</w:t>
      </w:r>
      <w:r w:rsidR="00733C7E">
        <w:rPr>
          <w:rStyle w:val="markedcontent"/>
          <w:rFonts w:ascii="Times New Roman" w:hAnsi="Times New Roman" w:cs="Times New Roman"/>
          <w:sz w:val="24"/>
          <w:szCs w:val="24"/>
        </w:rPr>
        <w:t xml:space="preserve"> </w:t>
      </w:r>
    </w:p>
    <w:p w:rsidR="008A6B28" w:rsidRDefault="00733C7E" w:rsidP="00733C7E">
      <w:pPr>
        <w:pStyle w:val="FootnoteText"/>
        <w:spacing w:line="360" w:lineRule="auto"/>
        <w:jc w:val="both"/>
        <w:rPr>
          <w:rFonts w:ascii="Times New Roman" w:hAnsi="Times New Roman" w:cs="Times New Roman"/>
          <w:sz w:val="24"/>
          <w:szCs w:val="24"/>
        </w:rPr>
      </w:pPr>
      <m:oMath>
        <m:r>
          <w:rPr>
            <w:rStyle w:val="mi"/>
            <w:rFonts w:ascii="Cambria Math" w:hAnsi="Cambria Math" w:cs="Times New Roman"/>
            <w:sz w:val="24"/>
            <w:szCs w:val="24"/>
          </w:rPr>
          <m:t>π</m:t>
        </m:r>
        <m:r>
          <w:rPr>
            <w:rStyle w:val="mo"/>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m:t>
            </m:r>
          </m:e>
          <m:sub>
            <m:r>
              <w:rPr>
                <w:rFonts w:ascii="Cambria Math" w:hAnsi="Cambria Math" w:cs="Times New Roman"/>
                <w:sz w:val="24"/>
                <w:szCs w:val="24"/>
              </w:rPr>
              <m:t>i</m:t>
            </m:r>
          </m:sub>
        </m:sSub>
        <m:r>
          <w:rPr>
            <w:rStyle w:val="mo"/>
            <w:rFonts w:ascii="Cambria Math" w:hAnsi="Cambria Math" w:cs="Times New Roman"/>
            <w:sz w:val="24"/>
            <w:szCs w:val="24"/>
          </w:rPr>
          <m:t>|</m:t>
        </m:r>
        <m:r>
          <w:rPr>
            <w:rStyle w:val="mi"/>
            <w:rFonts w:ascii="Cambria Math" w:hAnsi="Cambria Math" w:cs="Times New Roman"/>
            <w:sz w:val="24"/>
            <w:szCs w:val="24"/>
          </w:rPr>
          <m:t>E</m:t>
        </m:r>
        <m:r>
          <w:rPr>
            <w:rStyle w:val="mo"/>
            <w:rFonts w:ascii="Cambria Math" w:hAnsi="Cambria Math" w:cs="Times New Roman"/>
            <w:sz w:val="24"/>
            <w:szCs w:val="24"/>
          </w:rPr>
          <m:t>)=</m:t>
        </m:r>
        <m:f>
          <m:fPr>
            <m:ctrlPr>
              <w:rPr>
                <w:rFonts w:ascii="Cambria Math" w:hAnsi="Cambria Math" w:cs="Times New Roman"/>
                <w:i/>
                <w:iCs/>
                <w:sz w:val="24"/>
                <w:szCs w:val="24"/>
              </w:rPr>
            </m:ctrlPr>
          </m:fPr>
          <m:num>
            <m:r>
              <w:rPr>
                <w:rStyle w:val="mi"/>
                <w:rFonts w:ascii="Cambria Math" w:hAnsi="Cambria Math" w:cs="Times New Roman"/>
                <w:sz w:val="24"/>
                <w:szCs w:val="24"/>
              </w:rPr>
              <m:t>π</m:t>
            </m:r>
            <m:r>
              <w:rPr>
                <w:rStyle w:val="mo"/>
                <w:rFonts w:ascii="Cambria Math" w:hAnsi="Cambria Math" w:cs="Times New Roman"/>
                <w:sz w:val="24"/>
                <w:szCs w:val="24"/>
              </w:rPr>
              <m:t>(</m:t>
            </m:r>
            <m:r>
              <w:rPr>
                <w:rStyle w:val="mi"/>
                <w:rFonts w:ascii="Cambria Math" w:hAnsi="Cambria Math" w:cs="Times New Roman"/>
                <w:sz w:val="24"/>
                <w:szCs w:val="24"/>
              </w:rPr>
              <m:t>E</m:t>
            </m:r>
            <m:r>
              <w:rPr>
                <w:rStyle w:val="mo"/>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m:t>
                </m:r>
              </m:e>
              <m:sub>
                <m:r>
                  <w:rPr>
                    <w:rFonts w:ascii="Cambria Math" w:hAnsi="Cambria Math" w:cs="Times New Roman"/>
                    <w:sz w:val="24"/>
                    <w:szCs w:val="24"/>
                  </w:rPr>
                  <m:t>i</m:t>
                </m:r>
              </m:sub>
            </m:sSub>
            <m:r>
              <w:rPr>
                <w:rStyle w:val="mo"/>
                <w:rFonts w:ascii="Cambria Math" w:hAnsi="Cambria Math" w:cs="Times New Roman"/>
                <w:sz w:val="24"/>
                <w:szCs w:val="24"/>
              </w:rPr>
              <m:t>).</m:t>
            </m:r>
            <m:r>
              <w:rPr>
                <w:rStyle w:val="mi"/>
                <w:rFonts w:ascii="Cambria Math" w:hAnsi="Cambria Math" w:cs="Times New Roman"/>
                <w:sz w:val="24"/>
                <w:szCs w:val="24"/>
              </w:rPr>
              <m:t xml:space="preserve"> π</m:t>
            </m:r>
            <m:r>
              <w:rPr>
                <w:rStyle w:val="mo"/>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m:t>
                </m:r>
              </m:e>
              <m:sub>
                <m:r>
                  <w:rPr>
                    <w:rFonts w:ascii="Cambria Math" w:hAnsi="Cambria Math" w:cs="Times New Roman"/>
                    <w:sz w:val="24"/>
                    <w:szCs w:val="24"/>
                  </w:rPr>
                  <m:t>i</m:t>
                </m:r>
              </m:sub>
            </m:sSub>
            <m:r>
              <w:rPr>
                <w:rStyle w:val="mo"/>
                <w:rFonts w:ascii="Cambria Math" w:hAnsi="Cambria Math" w:cs="Times New Roman"/>
                <w:sz w:val="24"/>
                <w:szCs w:val="24"/>
              </w:rPr>
              <m:t>)</m:t>
            </m:r>
          </m:num>
          <m:den>
            <m:r>
              <w:rPr>
                <w:rStyle w:val="mo"/>
                <w:rFonts w:ascii="Cambria Math" w:hAnsi="Cambria Math" w:cs="Times New Roman"/>
                <w:sz w:val="24"/>
                <w:szCs w:val="24"/>
              </w:rPr>
              <m:t>∫</m:t>
            </m:r>
            <m:r>
              <w:rPr>
                <w:rStyle w:val="mi"/>
                <w:rFonts w:ascii="Cambria Math" w:hAnsi="Cambria Math" w:cs="Times New Roman"/>
                <w:sz w:val="24"/>
                <w:szCs w:val="24"/>
              </w:rPr>
              <m:t>π</m:t>
            </m:r>
            <m:r>
              <w:rPr>
                <w:rStyle w:val="mo"/>
                <w:rFonts w:ascii="Cambria Math" w:hAnsi="Cambria Math" w:cs="Times New Roman"/>
                <w:sz w:val="24"/>
                <w:szCs w:val="24"/>
              </w:rPr>
              <m:t>(</m:t>
            </m:r>
            <m:r>
              <w:rPr>
                <w:rStyle w:val="mi"/>
                <w:rFonts w:ascii="Cambria Math" w:hAnsi="Cambria Math" w:cs="Times New Roman"/>
                <w:sz w:val="24"/>
                <w:szCs w:val="24"/>
              </w:rPr>
              <m:t>E</m:t>
            </m:r>
            <m:r>
              <w:rPr>
                <w:rStyle w:val="mo"/>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m:t>
                </m:r>
              </m:e>
              <m:sub>
                <m:r>
                  <w:rPr>
                    <w:rFonts w:ascii="Cambria Math" w:hAnsi="Cambria Math" w:cs="Times New Roman"/>
                    <w:sz w:val="24"/>
                    <w:szCs w:val="24"/>
                  </w:rPr>
                  <m:t>i</m:t>
                </m:r>
              </m:sub>
            </m:sSub>
            <m:r>
              <w:rPr>
                <w:rStyle w:val="mo"/>
                <w:rFonts w:ascii="Cambria Math" w:hAnsi="Cambria Math" w:cs="Times New Roman"/>
                <w:sz w:val="24"/>
                <w:szCs w:val="24"/>
              </w:rPr>
              <m:t>)</m:t>
            </m:r>
            <m:r>
              <w:rPr>
                <w:rStyle w:val="mi"/>
                <w:rFonts w:ascii="Cambria Math" w:hAnsi="Cambria Math" w:cs="Times New Roman"/>
                <w:sz w:val="24"/>
                <w:szCs w:val="24"/>
              </w:rPr>
              <m:t>π</m:t>
            </m:r>
            <m:r>
              <w:rPr>
                <w:rStyle w:val="mo"/>
                <w:rFonts w:ascii="Cambria Math" w:hAnsi="Cambria Math" w:cs="Times New Roman"/>
                <w:sz w:val="24"/>
                <w:szCs w:val="24"/>
              </w:rPr>
              <m:t>(</m:t>
            </m:r>
            <m:sSub>
              <m:sSubPr>
                <m:ctrlPr>
                  <w:rPr>
                    <w:rFonts w:ascii="Cambria Math" w:hAnsi="Cambria Math" w:cs="Times New Roman"/>
                    <w:i/>
                    <w:iCs/>
                    <w:sz w:val="24"/>
                    <w:szCs w:val="24"/>
                  </w:rPr>
                </m:ctrlPr>
              </m:sSubPr>
              <m:e>
                <m:r>
                  <w:rPr>
                    <w:rFonts w:ascii="Cambria Math" w:hAnsi="Cambria Math" w:cs="Times New Roman"/>
                    <w:sz w:val="24"/>
                    <w:szCs w:val="24"/>
                  </w:rPr>
                  <m:t>∂</m:t>
                </m:r>
              </m:e>
              <m:sub>
                <m:r>
                  <w:rPr>
                    <w:rFonts w:ascii="Cambria Math" w:hAnsi="Cambria Math" w:cs="Times New Roman"/>
                    <w:sz w:val="24"/>
                    <w:szCs w:val="24"/>
                  </w:rPr>
                  <m:t>i</m:t>
                </m:r>
              </m:sub>
            </m:sSub>
            <m:r>
              <w:rPr>
                <w:rStyle w:val="mo"/>
                <w:rFonts w:ascii="Cambria Math" w:hAnsi="Cambria Math" w:cs="Times New Roman"/>
                <w:sz w:val="24"/>
                <w:szCs w:val="24"/>
              </w:rPr>
              <m:t>)</m:t>
            </m:r>
            <m:r>
              <w:rPr>
                <w:rStyle w:val="mi"/>
                <w:rFonts w:ascii="Cambria Math" w:hAnsi="Cambria Math" w:cs="Times New Roman"/>
                <w:sz w:val="24"/>
                <w:szCs w:val="24"/>
              </w:rPr>
              <m:t>d</m:t>
            </m:r>
            <m:sSub>
              <m:sSubPr>
                <m:ctrlPr>
                  <w:rPr>
                    <w:rFonts w:ascii="Cambria Math" w:hAnsi="Cambria Math" w:cs="Times New Roman"/>
                    <w:i/>
                    <w:iCs/>
                    <w:sz w:val="24"/>
                    <w:szCs w:val="24"/>
                  </w:rPr>
                </m:ctrlPr>
              </m:sSubPr>
              <m:e>
                <m:r>
                  <w:rPr>
                    <w:rFonts w:ascii="Cambria Math" w:hAnsi="Cambria Math" w:cs="Times New Roman"/>
                    <w:sz w:val="24"/>
                    <w:szCs w:val="24"/>
                  </w:rPr>
                  <m:t>∂</m:t>
                </m:r>
              </m:e>
              <m:sub>
                <m:r>
                  <w:rPr>
                    <w:rFonts w:ascii="Cambria Math" w:hAnsi="Cambria Math" w:cs="Times New Roman"/>
                    <w:sz w:val="24"/>
                    <w:szCs w:val="24"/>
                  </w:rPr>
                  <m:t>i</m:t>
                </m:r>
              </m:sub>
            </m:sSub>
          </m:den>
        </m:f>
      </m:oMath>
      <w:r w:rsidR="00DF2F8E">
        <w:rPr>
          <w:rStyle w:val="mo"/>
          <w:rFonts w:ascii="Times New Roman" w:hAnsi="Times New Roman" w:cs="Times New Roman"/>
          <w:sz w:val="24"/>
          <w:szCs w:val="24"/>
        </w:rPr>
        <w:t xml:space="preserve">                                                                                                                             (4)</w:t>
      </w:r>
    </w:p>
    <w:p w:rsidR="008A6B28" w:rsidRDefault="00DF2F8E" w:rsidP="00733C7E">
      <w:pPr>
        <w:spacing w:after="0" w:line="360" w:lineRule="auto"/>
        <w:jc w:val="both"/>
        <w:rPr>
          <w:rFonts w:ascii="Times New Roman" w:hAnsi="Times New Roman" w:cs="Times New Roman"/>
          <w:sz w:val="24"/>
          <w:szCs w:val="24"/>
        </w:rPr>
      </w:pPr>
      <w:r>
        <w:rPr>
          <w:rFonts w:ascii="Times New Roman" w:hAnsi="Times New Roman" w:cs="Times New Roman"/>
          <w:sz w:val="24"/>
          <w:szCs w:val="24"/>
        </w:rPr>
        <w:t xml:space="preserve">The equation 4 is composed of a prior probability </w:t>
      </w:r>
      <w:r>
        <w:rPr>
          <w:rStyle w:val="mi"/>
          <w:rFonts w:ascii="Times New Roman" w:hAnsi="Times New Roman" w:cs="Times New Roman"/>
          <w:sz w:val="24"/>
          <w:szCs w:val="24"/>
        </w:rPr>
        <w:t>π</w:t>
      </w:r>
      <w:r>
        <w:rPr>
          <w:rStyle w:val="mo"/>
          <w:rFonts w:ascii="Times New Roman" w:hAnsi="Times New Roman" w:cs="Times New Roman"/>
          <w:sz w:val="24"/>
          <w:szCs w:val="24"/>
        </w:rPr>
        <w:t>(</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oMath>
      <w:r>
        <w:rPr>
          <w:rStyle w:val="mo"/>
          <w:rFonts w:ascii="Times New Roman" w:hAnsi="Times New Roman" w:cs="Times New Roman"/>
          <w:sz w:val="24"/>
          <w:szCs w:val="24"/>
        </w:rPr>
        <w:t>)</w:t>
      </w:r>
      <w:r>
        <w:rPr>
          <w:rFonts w:ascii="Times New Roman" w:hAnsi="Times New Roman" w:cs="Times New Roman"/>
          <w:sz w:val="24"/>
          <w:szCs w:val="24"/>
        </w:rPr>
        <w:t xml:space="preserve"> function</w:t>
      </w:r>
      <w:r w:rsidR="001F7554">
        <w:rPr>
          <w:rFonts w:ascii="Times New Roman" w:hAnsi="Times New Roman" w:cs="Times New Roman"/>
          <w:sz w:val="24"/>
          <w:szCs w:val="24"/>
        </w:rPr>
        <w:t xml:space="preserve"> (, which expresses the </w:t>
      </w:r>
      <w:r w:rsidR="00AF06A0">
        <w:rPr>
          <w:rFonts w:ascii="Times New Roman" w:hAnsi="Times New Roman" w:cs="Times New Roman"/>
          <w:sz w:val="24"/>
          <w:szCs w:val="24"/>
        </w:rPr>
        <w:t xml:space="preserve">overall </w:t>
      </w:r>
      <w:r w:rsidR="001F7554">
        <w:rPr>
          <w:rFonts w:ascii="Times New Roman" w:hAnsi="Times New Roman" w:cs="Times New Roman"/>
          <w:sz w:val="24"/>
          <w:szCs w:val="24"/>
        </w:rPr>
        <w:t xml:space="preserve">distribution of the pandemic growth rates without the data </w:t>
      </w:r>
      <m:oMath>
        <m:r>
          <w:rPr>
            <w:rStyle w:val="mi"/>
            <w:rFonts w:ascii="Cambria Math" w:hAnsi="Cambria Math" w:cs="Times New Roman"/>
            <w:sz w:val="24"/>
            <w:szCs w:val="24"/>
          </w:rPr>
          <m:t>E</m:t>
        </m:r>
      </m:oMath>
      <w:r w:rsidR="001F7554">
        <w:rPr>
          <w:rFonts w:ascii="Times New Roman" w:hAnsi="Times New Roman" w:cs="Times New Roman"/>
          <w:sz w:val="24"/>
          <w:szCs w:val="24"/>
        </w:rPr>
        <w:t xml:space="preserve"> being observed)</w:t>
      </w:r>
      <w:r>
        <w:rPr>
          <w:rFonts w:ascii="Times New Roman" w:hAnsi="Times New Roman" w:cs="Times New Roman"/>
          <w:sz w:val="24"/>
          <w:szCs w:val="24"/>
        </w:rPr>
        <w:t xml:space="preserve">, a likelihood </w:t>
      </w:r>
      <m:oMath>
        <m:r>
          <m:rPr>
            <m:sty m:val="p"/>
          </m:rPr>
          <w:rPr>
            <w:rStyle w:val="mi"/>
            <w:rFonts w:ascii="Cambria Math" w:hAnsi="Cambria Math" w:cs="Times New Roman"/>
            <w:sz w:val="24"/>
            <w:szCs w:val="24"/>
          </w:rPr>
          <m:t>π</m:t>
        </m:r>
        <m:r>
          <m:rPr>
            <m:sty m:val="p"/>
          </m:rPr>
          <w:rPr>
            <w:rStyle w:val="mo"/>
            <w:rFonts w:ascii="Cambria Math" w:hAnsi="Cambria Math" w:cs="Times New Roman"/>
            <w:sz w:val="24"/>
            <w:szCs w:val="24"/>
          </w:rPr>
          <m:t>(</m:t>
        </m:r>
        <m:r>
          <w:rPr>
            <w:rStyle w:val="mi"/>
            <w:rFonts w:ascii="Cambria Math" w:hAnsi="Cambria Math" w:cs="Times New Roman"/>
            <w:sz w:val="24"/>
            <w:szCs w:val="24"/>
          </w:rPr>
          <m:t>E</m:t>
        </m:r>
        <m:r>
          <m:rPr>
            <m:sty m:val="p"/>
          </m:rPr>
          <w:rPr>
            <w:rStyle w:val="mo"/>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r>
          <m:rPr>
            <m:sty m:val="p"/>
          </m:rPr>
          <w:rPr>
            <w:rStyle w:val="mo"/>
            <w:rFonts w:ascii="Cambria Math" w:hAnsi="Cambria Math" w:cs="Times New Roman"/>
            <w:sz w:val="24"/>
            <w:szCs w:val="24"/>
          </w:rPr>
          <m:t>)</m:t>
        </m:r>
      </m:oMath>
      <w:r w:rsidR="001F7554">
        <w:rPr>
          <w:rStyle w:val="mo"/>
          <w:rFonts w:ascii="Times New Roman" w:hAnsi="Times New Roman" w:cs="Times New Roman"/>
          <w:sz w:val="24"/>
          <w:szCs w:val="24"/>
        </w:rPr>
        <w:t xml:space="preserve"> function (, which </w:t>
      </w:r>
      <w:r w:rsidR="001F7554">
        <w:rPr>
          <w:rFonts w:ascii="Times New Roman" w:hAnsi="Times New Roman" w:cs="Times New Roman"/>
          <w:sz w:val="24"/>
          <w:szCs w:val="24"/>
        </w:rPr>
        <w:t xml:space="preserve">expresses the </w:t>
      </w:r>
      <w:r w:rsidR="00047049">
        <w:rPr>
          <w:rFonts w:ascii="Times New Roman" w:hAnsi="Times New Roman" w:cs="Times New Roman"/>
          <w:sz w:val="24"/>
          <w:szCs w:val="24"/>
        </w:rPr>
        <w:t xml:space="preserve">conditional </w:t>
      </w:r>
      <w:r w:rsidR="001F7554">
        <w:rPr>
          <w:rFonts w:ascii="Times New Roman" w:hAnsi="Times New Roman" w:cs="Times New Roman"/>
          <w:sz w:val="24"/>
          <w:szCs w:val="24"/>
        </w:rPr>
        <w:t xml:space="preserve">distribution of the </w:t>
      </w:r>
      <m:oMath>
        <m:r>
          <w:rPr>
            <w:rStyle w:val="mi"/>
            <w:rFonts w:ascii="Cambria Math" w:hAnsi="Cambria Math" w:cs="Times New Roman"/>
            <w:sz w:val="24"/>
            <w:szCs w:val="24"/>
          </w:rPr>
          <m:t>E</m:t>
        </m:r>
      </m:oMath>
      <w:r w:rsidR="001F7554">
        <w:rPr>
          <w:rFonts w:ascii="Times New Roman" w:hAnsi="Times New Roman" w:cs="Times New Roman"/>
          <w:sz w:val="24"/>
          <w:szCs w:val="24"/>
        </w:rPr>
        <w:t xml:space="preserve"> </w:t>
      </w:r>
      <w:r w:rsidR="00AF06A0">
        <w:rPr>
          <w:rFonts w:ascii="Times New Roman" w:hAnsi="Times New Roman" w:cs="Times New Roman"/>
          <w:sz w:val="24"/>
          <w:szCs w:val="24"/>
        </w:rPr>
        <w:t xml:space="preserve">to be active or not active </w:t>
      </w:r>
      <w:r w:rsidR="001F7554">
        <w:rPr>
          <w:rFonts w:ascii="Times New Roman" w:hAnsi="Times New Roman" w:cs="Times New Roman"/>
          <w:sz w:val="24"/>
          <w:szCs w:val="24"/>
        </w:rPr>
        <w:t xml:space="preserve">upon the prior distribution parametrized by </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oMath>
      <w:r w:rsidR="001F7554">
        <w:rPr>
          <w:rStyle w:val="mo"/>
          <w:rFonts w:ascii="Times New Roman" w:hAnsi="Times New Roman" w:cs="Times New Roman"/>
          <w:sz w:val="24"/>
          <w:szCs w:val="24"/>
        </w:rPr>
        <w:t>)</w:t>
      </w:r>
      <w:r w:rsidR="00733C7E">
        <w:rPr>
          <w:rFonts w:ascii="Times New Roman" w:hAnsi="Times New Roman" w:cs="Times New Roman"/>
          <w:sz w:val="24"/>
          <w:szCs w:val="24"/>
        </w:rPr>
        <w:t xml:space="preserve">, </w:t>
      </w:r>
      <w:r>
        <w:rPr>
          <w:rFonts w:ascii="Times New Roman" w:hAnsi="Times New Roman" w:cs="Times New Roman"/>
          <w:sz w:val="24"/>
          <w:szCs w:val="24"/>
        </w:rPr>
        <w:t xml:space="preserve">and a posterior </w:t>
      </w:r>
      <m:oMath>
        <m:r>
          <m:rPr>
            <m:sty m:val="p"/>
          </m:rPr>
          <w:rPr>
            <w:rStyle w:val="mi"/>
            <w:rFonts w:ascii="Cambria Math" w:hAnsi="Cambria Math" w:cs="Times New Roman"/>
            <w:sz w:val="24"/>
            <w:szCs w:val="24"/>
          </w:rPr>
          <m:t>π</m:t>
        </m:r>
        <m:r>
          <m:rPr>
            <m:sty m:val="p"/>
          </m:rPr>
          <w:rPr>
            <w:rStyle w:val="mo"/>
            <w:rFonts w:ascii="Cambria Math" w:hAnsi="Cambria Math" w:cs="Times New Roman"/>
            <w:sz w:val="24"/>
            <w:szCs w:val="24"/>
          </w:rPr>
          <m:t>(</m:t>
        </m:r>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r>
          <m:rPr>
            <m:sty m:val="p"/>
          </m:rPr>
          <w:rPr>
            <w:rStyle w:val="mo"/>
            <w:rFonts w:ascii="Cambria Math" w:hAnsi="Cambria Math" w:cs="Times New Roman"/>
            <w:sz w:val="24"/>
            <w:szCs w:val="24"/>
          </w:rPr>
          <m:t>|</m:t>
        </m:r>
        <m:r>
          <w:rPr>
            <w:rStyle w:val="mi"/>
            <w:rFonts w:ascii="Cambria Math" w:hAnsi="Cambria Math" w:cs="Times New Roman"/>
            <w:sz w:val="24"/>
            <w:szCs w:val="24"/>
          </w:rPr>
          <m:t>E</m:t>
        </m:r>
        <m:r>
          <m:rPr>
            <m:sty m:val="p"/>
          </m:rPr>
          <w:rPr>
            <w:rStyle w:val="mo"/>
            <w:rFonts w:ascii="Cambria Math" w:hAnsi="Cambria Math" w:cs="Times New Roman"/>
            <w:sz w:val="24"/>
            <w:szCs w:val="24"/>
          </w:rPr>
          <m:t>)</m:t>
        </m:r>
      </m:oMath>
      <w:r>
        <w:rPr>
          <w:rStyle w:val="mo"/>
          <w:rFonts w:ascii="Times New Roman" w:hAnsi="Times New Roman" w:cs="Times New Roman"/>
          <w:sz w:val="24"/>
          <w:szCs w:val="24"/>
        </w:rPr>
        <w:t xml:space="preserve"> </w:t>
      </w:r>
      <w:r w:rsidR="00047049">
        <w:rPr>
          <w:rStyle w:val="mo"/>
          <w:rFonts w:ascii="Times New Roman" w:hAnsi="Times New Roman" w:cs="Times New Roman"/>
          <w:sz w:val="24"/>
          <w:szCs w:val="24"/>
        </w:rPr>
        <w:t xml:space="preserve">function (, which </w:t>
      </w:r>
      <w:r w:rsidR="00047049">
        <w:rPr>
          <w:rFonts w:ascii="Times New Roman" w:hAnsi="Times New Roman" w:cs="Times New Roman"/>
          <w:sz w:val="24"/>
          <w:szCs w:val="24"/>
        </w:rPr>
        <w:t xml:space="preserve">is defined </w:t>
      </w:r>
      <w:r w:rsidR="00047049">
        <w:rPr>
          <w:rFonts w:ascii="Times New Roman" w:hAnsi="Times New Roman" w:cs="Times New Roman"/>
          <w:sz w:val="24"/>
          <w:szCs w:val="24"/>
        </w:rPr>
        <w:lastRenderedPageBreak/>
        <w:t xml:space="preserve">proportional to the product of the likelihood and prior and </w:t>
      </w:r>
      <w:r w:rsidR="00047049">
        <w:rPr>
          <w:rStyle w:val="mo"/>
          <w:rFonts w:ascii="Times New Roman" w:hAnsi="Times New Roman" w:cs="Times New Roman"/>
          <w:sz w:val="24"/>
          <w:szCs w:val="24"/>
        </w:rPr>
        <w:t xml:space="preserve">represents the </w:t>
      </w:r>
      <w:r w:rsidR="00047049">
        <w:rPr>
          <w:rFonts w:ascii="Times New Roman" w:hAnsi="Times New Roman" w:cs="Times New Roman"/>
          <w:sz w:val="24"/>
          <w:szCs w:val="24"/>
        </w:rPr>
        <w:t xml:space="preserve">distribution of </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oMath>
      <w:r w:rsidR="00047049">
        <w:rPr>
          <w:rFonts w:ascii="Times New Roman" w:hAnsi="Times New Roman" w:cs="Times New Roman"/>
          <w:sz w:val="24"/>
          <w:szCs w:val="24"/>
        </w:rPr>
        <w:t xml:space="preserve"> </w:t>
      </w:r>
      <w:r w:rsidR="00AF06A0">
        <w:rPr>
          <w:rFonts w:ascii="Times New Roman" w:hAnsi="Times New Roman" w:cs="Times New Roman"/>
          <w:sz w:val="24"/>
          <w:szCs w:val="24"/>
        </w:rPr>
        <w:t>after incorporating the</w:t>
      </w:r>
      <w:r w:rsidR="00047049">
        <w:rPr>
          <w:rFonts w:ascii="Times New Roman" w:hAnsi="Times New Roman" w:cs="Times New Roman"/>
          <w:sz w:val="24"/>
          <w:szCs w:val="24"/>
        </w:rPr>
        <w:t xml:space="preserve"> evidence provided by the prior probability</w:t>
      </w:r>
      <w:r w:rsidR="00AF06A0">
        <w:rPr>
          <w:rFonts w:ascii="Times New Roman" w:hAnsi="Times New Roman" w:cs="Times New Roman"/>
          <w:sz w:val="24"/>
          <w:szCs w:val="24"/>
        </w:rPr>
        <w:t xml:space="preserve"> and likelihood</w:t>
      </w:r>
      <w:r w:rsidR="00047049">
        <w:rPr>
          <w:rStyle w:val="mo"/>
          <w:rFonts w:ascii="Times New Roman" w:hAnsi="Times New Roman" w:cs="Times New Roman"/>
          <w:sz w:val="24"/>
          <w:szCs w:val="24"/>
        </w:rPr>
        <w:t xml:space="preserve">).  </w:t>
      </w:r>
    </w:p>
    <w:p w:rsidR="008A6B28" w:rsidRDefault="00AF06A0" w:rsidP="00D968B1">
      <w:pPr>
        <w:spacing w:line="360" w:lineRule="auto"/>
        <w:jc w:val="both"/>
        <w:rPr>
          <w:rFonts w:ascii="Times New Roman" w:hAnsi="Times New Roman" w:cs="Times New Roman"/>
          <w:sz w:val="24"/>
          <w:szCs w:val="24"/>
        </w:rPr>
      </w:pPr>
      <w:r>
        <w:rPr>
          <w:rStyle w:val="markedcontent"/>
          <w:rFonts w:ascii="Times New Roman" w:hAnsi="Times New Roman" w:cs="Times New Roman"/>
          <w:sz w:val="24"/>
          <w:szCs w:val="24"/>
        </w:rPr>
        <w:t xml:space="preserve">The Bayes theorem is applied in our study to infer </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r>
          <w:rPr>
            <w:rFonts w:ascii="Cambria Math" w:hAnsi="Cambria Math" w:cs="Times New Roman"/>
            <w:sz w:val="24"/>
            <w:szCs w:val="24"/>
          </w:rPr>
          <m:t>s</m:t>
        </m:r>
      </m:oMath>
      <w:r w:rsidR="00DF2F8E">
        <w:rPr>
          <w:rStyle w:val="markedcontent"/>
          <w:rFonts w:ascii="Times New Roman" w:hAnsi="Times New Roman" w:cs="Times New Roman"/>
          <w:sz w:val="24"/>
          <w:szCs w:val="24"/>
        </w:rPr>
        <w:t xml:space="preserve"> </w:t>
      </w:r>
      <w:r w:rsidR="00D968B1">
        <w:rPr>
          <w:rStyle w:val="markedcontent"/>
          <w:rFonts w:ascii="Times New Roman" w:hAnsi="Times New Roman" w:cs="Times New Roman"/>
          <w:sz w:val="24"/>
          <w:szCs w:val="24"/>
        </w:rPr>
        <w:t xml:space="preserve">conditioned to </w:t>
      </w:r>
      <m:oMath>
        <m:r>
          <w:rPr>
            <w:rStyle w:val="mi"/>
            <w:rFonts w:ascii="Cambria Math" w:hAnsi="Cambria Math" w:cs="Times New Roman"/>
            <w:sz w:val="24"/>
            <w:szCs w:val="24"/>
          </w:rPr>
          <m:t>E</m:t>
        </m:r>
      </m:oMath>
      <w:r w:rsidR="00DF2F8E">
        <w:rPr>
          <w:rStyle w:val="markedcontent"/>
          <w:rFonts w:ascii="Times New Roman" w:hAnsi="Times New Roman" w:cs="Times New Roman"/>
          <w:sz w:val="24"/>
          <w:szCs w:val="24"/>
        </w:rPr>
        <w:t xml:space="preserve"> </w:t>
      </w:r>
      <w:r>
        <w:rPr>
          <w:rStyle w:val="markedcontent"/>
          <w:rFonts w:ascii="Times New Roman" w:hAnsi="Times New Roman" w:cs="Times New Roman"/>
          <w:sz w:val="24"/>
          <w:szCs w:val="24"/>
        </w:rPr>
        <w:t>through observing the distribution of pandemic</w:t>
      </w:r>
      <w:r w:rsidR="00DF2F8E">
        <w:rPr>
          <w:rFonts w:ascii="Times New Roman" w:hAnsi="Times New Roman" w:cs="Times New Roman"/>
          <w:sz w:val="24"/>
          <w:szCs w:val="24"/>
        </w:rPr>
        <w:t xml:space="preserve"> growth rates</w:t>
      </w:r>
      <w:r w:rsidR="00DF2F8E">
        <w:rPr>
          <w:rStyle w:val="markedcontent"/>
          <w:rFonts w:ascii="Times New Roman" w:hAnsi="Times New Roman" w:cs="Times New Roman"/>
          <w:sz w:val="24"/>
          <w:szCs w:val="24"/>
        </w:rPr>
        <w:t xml:space="preserve"> </w:t>
      </w:r>
      <w:r>
        <w:rPr>
          <w:rStyle w:val="markedcontent"/>
          <w:rFonts w:ascii="Times New Roman" w:hAnsi="Times New Roman" w:cs="Times New Roman"/>
          <w:sz w:val="24"/>
          <w:szCs w:val="24"/>
        </w:rPr>
        <w:t xml:space="preserve">within </w:t>
      </w:r>
      <w:r w:rsidR="00DF2F8E">
        <w:rPr>
          <w:rStyle w:val="markedcontent"/>
          <w:rFonts w:ascii="Times New Roman" w:hAnsi="Times New Roman" w:cs="Times New Roman"/>
          <w:sz w:val="24"/>
          <w:szCs w:val="24"/>
        </w:rPr>
        <w:t xml:space="preserve">the days where the </w:t>
      </w:r>
      <m:oMath>
        <m:r>
          <w:rPr>
            <w:rStyle w:val="mi"/>
            <w:rFonts w:ascii="Cambria Math" w:hAnsi="Cambria Math" w:cs="Times New Roman"/>
            <w:sz w:val="24"/>
            <w:szCs w:val="24"/>
          </w:rPr>
          <m:t>E</m:t>
        </m:r>
      </m:oMath>
      <w:r w:rsidR="00DF2F8E">
        <w:rPr>
          <w:rStyle w:val="markedcontent"/>
          <w:rFonts w:ascii="Times New Roman" w:hAnsi="Times New Roman" w:cs="Times New Roman"/>
          <w:sz w:val="24"/>
          <w:szCs w:val="24"/>
        </w:rPr>
        <w:t xml:space="preserve"> has</w:t>
      </w:r>
      <w:r w:rsidR="00545EB0">
        <w:rPr>
          <w:rStyle w:val="markedcontent"/>
          <w:rFonts w:ascii="Times New Roman" w:hAnsi="Times New Roman" w:cs="Times New Roman"/>
          <w:sz w:val="24"/>
          <w:szCs w:val="24"/>
        </w:rPr>
        <w:t xml:space="preserve"> been active as well as </w:t>
      </w:r>
      <w:r w:rsidR="00D968B1">
        <w:rPr>
          <w:rStyle w:val="markedcontent"/>
          <w:rFonts w:ascii="Times New Roman" w:hAnsi="Times New Roman" w:cs="Times New Roman"/>
          <w:sz w:val="24"/>
          <w:szCs w:val="24"/>
        </w:rPr>
        <w:t>observation</w:t>
      </w:r>
      <w:r w:rsidR="00545EB0">
        <w:rPr>
          <w:rStyle w:val="markedcontent"/>
          <w:rFonts w:ascii="Times New Roman" w:hAnsi="Times New Roman" w:cs="Times New Roman"/>
          <w:sz w:val="24"/>
          <w:szCs w:val="24"/>
        </w:rPr>
        <w:t xml:space="preserve"> the days, where the </w:t>
      </w:r>
      <m:oMath>
        <m:r>
          <w:rPr>
            <w:rStyle w:val="mi"/>
            <w:rFonts w:ascii="Cambria Math" w:hAnsi="Cambria Math" w:cs="Times New Roman"/>
            <w:sz w:val="24"/>
            <w:szCs w:val="24"/>
          </w:rPr>
          <m:t>E</m:t>
        </m:r>
      </m:oMath>
      <w:r w:rsidR="00545EB0">
        <w:rPr>
          <w:rStyle w:val="markedcontent"/>
          <w:rFonts w:ascii="Times New Roman" w:hAnsi="Times New Roman" w:cs="Times New Roman"/>
          <w:sz w:val="24"/>
          <w:szCs w:val="24"/>
        </w:rPr>
        <w:t xml:space="preserve"> has </w:t>
      </w:r>
      <w:r w:rsidR="00DF2F8E">
        <w:rPr>
          <w:rStyle w:val="markedcontent"/>
          <w:rFonts w:ascii="Times New Roman" w:hAnsi="Times New Roman" w:cs="Times New Roman"/>
          <w:i/>
          <w:iCs/>
          <w:sz w:val="24"/>
          <w:szCs w:val="24"/>
        </w:rPr>
        <w:t>not</w:t>
      </w:r>
      <w:r w:rsidR="00545EB0">
        <w:rPr>
          <w:rStyle w:val="markedcontent"/>
          <w:rFonts w:ascii="Times New Roman" w:hAnsi="Times New Roman" w:cs="Times New Roman"/>
          <w:sz w:val="24"/>
          <w:szCs w:val="24"/>
        </w:rPr>
        <w:t xml:space="preserve"> been active</w:t>
      </w:r>
      <w:r w:rsidR="00DF2F8E">
        <w:rPr>
          <w:rFonts w:ascii="Times New Roman" w:hAnsi="Times New Roman" w:cs="Times New Roman"/>
          <w:sz w:val="24"/>
          <w:szCs w:val="24"/>
        </w:rPr>
        <w:t>.</w:t>
      </w:r>
      <w:r w:rsidR="00D968B1">
        <w:rPr>
          <w:rFonts w:ascii="Times New Roman" w:hAnsi="Times New Roman" w:cs="Times New Roman"/>
          <w:sz w:val="24"/>
          <w:szCs w:val="24"/>
        </w:rPr>
        <w:t xml:space="preserve">  </w:t>
      </w:r>
    </w:p>
    <w:p w:rsidR="00D42DF8" w:rsidRPr="00D42DF8" w:rsidRDefault="00D42DF8" w:rsidP="00D42DF8">
      <w:pPr>
        <w:pStyle w:val="Heading3"/>
        <w:spacing w:line="360" w:lineRule="auto"/>
        <w:rPr>
          <w:rFonts w:ascii="Times New Roman" w:hAnsi="Times New Roman" w:cs="Times New Roman"/>
          <w:sz w:val="24"/>
          <w:szCs w:val="24"/>
        </w:rPr>
      </w:pPr>
      <w:r>
        <w:rPr>
          <w:rFonts w:ascii="Times New Roman" w:hAnsi="Times New Roman" w:cs="Times New Roman"/>
          <w:sz w:val="24"/>
          <w:szCs w:val="24"/>
        </w:rPr>
        <w:t>3.4 Basic distribution</w:t>
      </w:r>
    </w:p>
    <w:p w:rsidR="00D42DF8" w:rsidRDefault="00D42DF8" w:rsidP="00D42DF8">
      <w:pPr>
        <w:spacing w:line="360" w:lineRule="auto"/>
        <w:jc w:val="both"/>
        <w:rPr>
          <w:rFonts w:ascii="Times New Roman" w:hAnsi="Times New Roman" w:cs="Times New Roman"/>
          <w:sz w:val="24"/>
          <w:szCs w:val="24"/>
        </w:rPr>
      </w:pPr>
      <w:r>
        <w:rPr>
          <w:rStyle w:val="hgkelc"/>
          <w:rFonts w:ascii="Times New Roman" w:hAnsi="Times New Roman" w:cs="Times New Roman"/>
          <w:sz w:val="24"/>
          <w:szCs w:val="24"/>
          <w:lang w:val="en"/>
        </w:rPr>
        <w:t xml:space="preserve">In order to model the distribution of probabilistic parameters in our model and based on the fitting data to the studied countries, we use a Student-T distribution to predict the distribution of </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oMath>
      <w:r>
        <w:rPr>
          <w:rStyle w:val="markedcontent"/>
          <w:rFonts w:ascii="Times New Roman" w:hAnsi="Times New Roman" w:cs="Times New Roman"/>
          <w:sz w:val="24"/>
          <w:szCs w:val="24"/>
        </w:rPr>
        <w:t>s</w:t>
      </w:r>
      <w:r>
        <w:rPr>
          <w:rStyle w:val="hgkelc"/>
          <w:rFonts w:ascii="Times New Roman" w:hAnsi="Times New Roman" w:cs="Times New Roman"/>
          <w:sz w:val="24"/>
          <w:szCs w:val="24"/>
          <w:lang w:val="en"/>
        </w:rPr>
        <w:t xml:space="preserve"> in our analysis</w:t>
      </w:r>
      <w:r>
        <w:rPr>
          <w:rStyle w:val="FootnoteReference"/>
          <w:rFonts w:ascii="Times New Roman" w:hAnsi="Times New Roman" w:cs="Times New Roman"/>
          <w:sz w:val="24"/>
          <w:szCs w:val="24"/>
          <w:lang w:val="en"/>
        </w:rPr>
        <w:footnoteReference w:id="7"/>
      </w:r>
      <w:r>
        <w:rPr>
          <w:rStyle w:val="hgkelc"/>
          <w:rFonts w:ascii="Times New Roman" w:hAnsi="Times New Roman" w:cs="Times New Roman"/>
          <w:sz w:val="24"/>
          <w:szCs w:val="24"/>
          <w:lang w:val="en"/>
        </w:rPr>
        <w:t>.</w:t>
      </w:r>
      <w:r>
        <w:rPr>
          <w:rFonts w:ascii="Times New Roman" w:hAnsi="Times New Roman" w:cs="Times New Roman"/>
          <w:sz w:val="24"/>
          <w:szCs w:val="24"/>
        </w:rPr>
        <w:t xml:space="preserve"> The reason of choosing a Student-T is its fitness to the shape of the </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oMath>
      <w:r>
        <w:rPr>
          <w:rStyle w:val="markedcontent"/>
          <w:rFonts w:ascii="Times New Roman" w:hAnsi="Times New Roman" w:cs="Times New Roman"/>
          <w:sz w:val="24"/>
          <w:szCs w:val="24"/>
        </w:rPr>
        <w:t>s</w:t>
      </w:r>
      <w:r>
        <w:rPr>
          <w:rFonts w:ascii="Times New Roman" w:hAnsi="Times New Roman" w:cs="Times New Roman"/>
          <w:sz w:val="24"/>
          <w:szCs w:val="24"/>
        </w:rPr>
        <w:t xml:space="preserve"> in the studied countries. Figure 2 and Table 2 depict the histogram of the overall </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oMath>
      <w:r>
        <w:rPr>
          <w:rStyle w:val="markedcontent"/>
          <w:rFonts w:ascii="Times New Roman" w:hAnsi="Times New Roman" w:cs="Times New Roman"/>
          <w:sz w:val="24"/>
          <w:szCs w:val="24"/>
        </w:rPr>
        <w:t>s</w:t>
      </w:r>
      <w:r>
        <w:rPr>
          <w:rFonts w:ascii="Times New Roman" w:hAnsi="Times New Roman" w:cs="Times New Roman"/>
          <w:sz w:val="24"/>
          <w:szCs w:val="24"/>
        </w:rPr>
        <w:t xml:space="preserve"> numbers by the example of Germany during the pandemic between 03.02.2020 and 07.07. </w:t>
      </w:r>
      <w:r>
        <w:rPr>
          <w:rStyle w:val="hgkelc"/>
          <w:rFonts w:ascii="Times New Roman" w:hAnsi="Times New Roman" w:cs="Times New Roman"/>
          <w:sz w:val="24"/>
          <w:szCs w:val="24"/>
          <w:lang w:val="en"/>
        </w:rPr>
        <w:t xml:space="preserve">Basically, the t-distribution gives more probability to observations in the tails of the distribution than a standard normal distribution, which suits well the distribution of </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oMath>
      <w:r>
        <w:rPr>
          <w:rStyle w:val="hgkelc"/>
          <w:rFonts w:ascii="Times New Roman" w:hAnsi="Times New Roman" w:cs="Times New Roman"/>
          <w:sz w:val="24"/>
          <w:szCs w:val="24"/>
          <w:lang w:val="en"/>
        </w:rPr>
        <w:t xml:space="preserve"> in our study. </w:t>
      </w:r>
    </w:p>
    <w:p w:rsidR="00D42DF8" w:rsidRDefault="00D42DF8" w:rsidP="00D42DF8">
      <w:pPr>
        <w:pStyle w:val="Caption"/>
        <w:keepNext/>
      </w:pPr>
    </w:p>
    <w:tbl>
      <w:tblPr>
        <w:tblW w:w="7456" w:type="dxa"/>
        <w:tblLook w:val="04A0" w:firstRow="1" w:lastRow="0" w:firstColumn="1" w:lastColumn="0" w:noHBand="0" w:noVBand="1"/>
      </w:tblPr>
      <w:tblGrid>
        <w:gridCol w:w="960"/>
        <w:gridCol w:w="1610"/>
        <w:gridCol w:w="960"/>
        <w:gridCol w:w="960"/>
        <w:gridCol w:w="960"/>
        <w:gridCol w:w="1046"/>
        <w:gridCol w:w="960"/>
      </w:tblGrid>
      <w:tr w:rsidR="00D42DF8" w:rsidTr="00681696">
        <w:trPr>
          <w:trHeight w:val="288"/>
        </w:trPr>
        <w:tc>
          <w:tcPr>
            <w:tcW w:w="960" w:type="dxa"/>
            <w:shd w:val="clear" w:color="auto" w:fill="auto"/>
            <w:noWrap/>
            <w:vAlign w:val="bottom"/>
          </w:tcPr>
          <w:p w:rsidR="00D42DF8" w:rsidRDefault="00D42DF8" w:rsidP="00681696">
            <w:pPr>
              <w:spacing w:after="0" w:line="240" w:lineRule="auto"/>
              <w:rPr>
                <w:rFonts w:ascii="Times New Roman" w:eastAsia="Times New Roman" w:hAnsi="Times New Roman" w:cs="Times New Roman"/>
                <w:sz w:val="18"/>
                <w:szCs w:val="18"/>
              </w:rPr>
            </w:pPr>
          </w:p>
        </w:tc>
        <w:tc>
          <w:tcPr>
            <w:tcW w:w="1610" w:type="dxa"/>
            <w:shd w:val="clear" w:color="auto" w:fill="auto"/>
            <w:noWrap/>
          </w:tcPr>
          <w:p w:rsidR="00D42DF8" w:rsidRDefault="00D42DF8" w:rsidP="00681696">
            <w:pPr>
              <w:spacing w:after="0" w:line="240" w:lineRule="auto"/>
              <w:jc w:val="center"/>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sumsquare_error</w:t>
            </w:r>
            <w:proofErr w:type="spellEnd"/>
          </w:p>
        </w:tc>
        <w:tc>
          <w:tcPr>
            <w:tcW w:w="960" w:type="dxa"/>
            <w:shd w:val="clear" w:color="auto" w:fill="auto"/>
            <w:noWrap/>
          </w:tcPr>
          <w:p w:rsidR="00D42DF8" w:rsidRDefault="00D42DF8" w:rsidP="00681696">
            <w:pPr>
              <w:spacing w:after="0" w:line="240" w:lineRule="auto"/>
              <w:jc w:val="center"/>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aic</w:t>
            </w:r>
            <w:proofErr w:type="spellEnd"/>
          </w:p>
        </w:tc>
        <w:tc>
          <w:tcPr>
            <w:tcW w:w="960" w:type="dxa"/>
            <w:shd w:val="clear" w:color="auto" w:fill="auto"/>
            <w:noWrap/>
          </w:tcPr>
          <w:p w:rsidR="00D42DF8" w:rsidRDefault="00D42DF8" w:rsidP="00681696">
            <w:pPr>
              <w:spacing w:after="0" w:line="240" w:lineRule="auto"/>
              <w:jc w:val="center"/>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bic</w:t>
            </w:r>
            <w:proofErr w:type="spellEnd"/>
          </w:p>
        </w:tc>
        <w:tc>
          <w:tcPr>
            <w:tcW w:w="960" w:type="dxa"/>
            <w:shd w:val="clear" w:color="auto" w:fill="auto"/>
            <w:noWrap/>
          </w:tcPr>
          <w:p w:rsidR="00D42DF8" w:rsidRDefault="00D42DF8" w:rsidP="00681696">
            <w:pPr>
              <w:spacing w:after="0" w:line="240" w:lineRule="auto"/>
              <w:jc w:val="center"/>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kl_div</w:t>
            </w:r>
            <w:proofErr w:type="spellEnd"/>
          </w:p>
        </w:tc>
        <w:tc>
          <w:tcPr>
            <w:tcW w:w="1046" w:type="dxa"/>
            <w:shd w:val="clear" w:color="auto" w:fill="auto"/>
            <w:noWrap/>
          </w:tcPr>
          <w:p w:rsidR="00D42DF8" w:rsidRDefault="00D42DF8" w:rsidP="00681696">
            <w:pPr>
              <w:spacing w:after="0" w:line="240" w:lineRule="auto"/>
              <w:jc w:val="center"/>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ks_statistic</w:t>
            </w:r>
            <w:proofErr w:type="spellEnd"/>
          </w:p>
        </w:tc>
        <w:tc>
          <w:tcPr>
            <w:tcW w:w="960" w:type="dxa"/>
            <w:shd w:val="clear" w:color="auto" w:fill="auto"/>
            <w:noWrap/>
          </w:tcPr>
          <w:p w:rsidR="00D42DF8" w:rsidRDefault="00D42DF8" w:rsidP="00681696">
            <w:pPr>
              <w:spacing w:after="0" w:line="240" w:lineRule="auto"/>
              <w:jc w:val="center"/>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ks_pvalue</w:t>
            </w:r>
            <w:proofErr w:type="spellEnd"/>
          </w:p>
        </w:tc>
      </w:tr>
      <w:tr w:rsidR="00D42DF8" w:rsidTr="00681696">
        <w:trPr>
          <w:trHeight w:val="288"/>
        </w:trPr>
        <w:tc>
          <w:tcPr>
            <w:tcW w:w="960" w:type="dxa"/>
            <w:shd w:val="clear" w:color="auto" w:fill="auto"/>
            <w:noWrap/>
          </w:tcPr>
          <w:p w:rsidR="00D42DF8" w:rsidRDefault="00D42DF8" w:rsidP="00681696">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t</w:t>
            </w:r>
          </w:p>
        </w:tc>
        <w:tc>
          <w:tcPr>
            <w:tcW w:w="161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0.555638</w:t>
            </w:r>
          </w:p>
        </w:tc>
        <w:tc>
          <w:tcPr>
            <w:tcW w:w="96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958.8544</w:t>
            </w:r>
          </w:p>
        </w:tc>
        <w:tc>
          <w:tcPr>
            <w:tcW w:w="96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-6112.84</w:t>
            </w:r>
          </w:p>
        </w:tc>
        <w:tc>
          <w:tcPr>
            <w:tcW w:w="960" w:type="dxa"/>
            <w:shd w:val="clear" w:color="auto" w:fill="auto"/>
            <w:noWrap/>
            <w:vAlign w:val="bottom"/>
          </w:tcPr>
          <w:p w:rsidR="00D42DF8" w:rsidRDefault="00D42DF8" w:rsidP="00681696">
            <w:pPr>
              <w:spacing w:after="0" w:line="240" w:lineRule="auto"/>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inf</w:t>
            </w:r>
            <w:proofErr w:type="spellEnd"/>
          </w:p>
        </w:tc>
        <w:tc>
          <w:tcPr>
            <w:tcW w:w="1046"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0.052344</w:t>
            </w:r>
          </w:p>
        </w:tc>
        <w:tc>
          <w:tcPr>
            <w:tcW w:w="96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0.019538</w:t>
            </w:r>
          </w:p>
        </w:tc>
      </w:tr>
      <w:tr w:rsidR="00D42DF8" w:rsidTr="00681696">
        <w:trPr>
          <w:trHeight w:val="288"/>
        </w:trPr>
        <w:tc>
          <w:tcPr>
            <w:tcW w:w="960" w:type="dxa"/>
            <w:shd w:val="clear" w:color="auto" w:fill="auto"/>
            <w:noWrap/>
          </w:tcPr>
          <w:p w:rsidR="00D42DF8" w:rsidRDefault="00D42DF8" w:rsidP="00681696">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gamma</w:t>
            </w:r>
          </w:p>
        </w:tc>
        <w:tc>
          <w:tcPr>
            <w:tcW w:w="161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0.601352</w:t>
            </w:r>
          </w:p>
        </w:tc>
        <w:tc>
          <w:tcPr>
            <w:tcW w:w="96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915.6697</w:t>
            </w:r>
          </w:p>
        </w:tc>
        <w:tc>
          <w:tcPr>
            <w:tcW w:w="96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-6046.59</w:t>
            </w:r>
          </w:p>
        </w:tc>
        <w:tc>
          <w:tcPr>
            <w:tcW w:w="960" w:type="dxa"/>
            <w:shd w:val="clear" w:color="auto" w:fill="auto"/>
            <w:noWrap/>
            <w:vAlign w:val="bottom"/>
          </w:tcPr>
          <w:p w:rsidR="00D42DF8" w:rsidRDefault="00D42DF8" w:rsidP="00681696">
            <w:pPr>
              <w:spacing w:after="0" w:line="240" w:lineRule="auto"/>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inf</w:t>
            </w:r>
            <w:proofErr w:type="spellEnd"/>
          </w:p>
        </w:tc>
        <w:tc>
          <w:tcPr>
            <w:tcW w:w="1046"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0.052242</w:t>
            </w:r>
          </w:p>
        </w:tc>
        <w:tc>
          <w:tcPr>
            <w:tcW w:w="96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0.01989</w:t>
            </w:r>
          </w:p>
        </w:tc>
      </w:tr>
      <w:tr w:rsidR="00D42DF8" w:rsidTr="00681696">
        <w:trPr>
          <w:trHeight w:val="288"/>
        </w:trPr>
        <w:tc>
          <w:tcPr>
            <w:tcW w:w="960" w:type="dxa"/>
            <w:shd w:val="clear" w:color="auto" w:fill="auto"/>
            <w:noWrap/>
          </w:tcPr>
          <w:p w:rsidR="00D42DF8" w:rsidRDefault="00D42DF8" w:rsidP="00681696">
            <w:pPr>
              <w:spacing w:after="0" w:line="240" w:lineRule="auto"/>
              <w:jc w:val="center"/>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norm</w:t>
            </w:r>
          </w:p>
        </w:tc>
        <w:tc>
          <w:tcPr>
            <w:tcW w:w="161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0.700098</w:t>
            </w:r>
          </w:p>
        </w:tc>
        <w:tc>
          <w:tcPr>
            <w:tcW w:w="96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1780.438</w:t>
            </w:r>
          </w:p>
        </w:tc>
        <w:tc>
          <w:tcPr>
            <w:tcW w:w="96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-5925.91</w:t>
            </w:r>
          </w:p>
        </w:tc>
        <w:tc>
          <w:tcPr>
            <w:tcW w:w="960" w:type="dxa"/>
            <w:shd w:val="clear" w:color="auto" w:fill="auto"/>
            <w:noWrap/>
            <w:vAlign w:val="bottom"/>
          </w:tcPr>
          <w:p w:rsidR="00D42DF8" w:rsidRDefault="00D42DF8" w:rsidP="00681696">
            <w:pPr>
              <w:spacing w:after="0" w:line="240" w:lineRule="auto"/>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inf</w:t>
            </w:r>
            <w:proofErr w:type="spellEnd"/>
          </w:p>
        </w:tc>
        <w:tc>
          <w:tcPr>
            <w:tcW w:w="1046"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0.07842</w:t>
            </w:r>
          </w:p>
        </w:tc>
        <w:tc>
          <w:tcPr>
            <w:tcW w:w="96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6.27E-05</w:t>
            </w:r>
          </w:p>
        </w:tc>
      </w:tr>
      <w:tr w:rsidR="00D42DF8" w:rsidTr="00681696">
        <w:trPr>
          <w:trHeight w:val="288"/>
        </w:trPr>
        <w:tc>
          <w:tcPr>
            <w:tcW w:w="960" w:type="dxa"/>
            <w:shd w:val="clear" w:color="auto" w:fill="auto"/>
            <w:noWrap/>
          </w:tcPr>
          <w:p w:rsidR="00D42DF8" w:rsidRDefault="00D42DF8" w:rsidP="00681696">
            <w:pPr>
              <w:spacing w:after="0" w:line="240" w:lineRule="auto"/>
              <w:jc w:val="center"/>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cauchy</w:t>
            </w:r>
            <w:proofErr w:type="spellEnd"/>
          </w:p>
        </w:tc>
        <w:tc>
          <w:tcPr>
            <w:tcW w:w="161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1.195052</w:t>
            </w:r>
          </w:p>
        </w:tc>
        <w:tc>
          <w:tcPr>
            <w:tcW w:w="96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662.0179</w:t>
            </w:r>
          </w:p>
        </w:tc>
        <w:tc>
          <w:tcPr>
            <w:tcW w:w="96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-5477.81</w:t>
            </w:r>
          </w:p>
        </w:tc>
        <w:tc>
          <w:tcPr>
            <w:tcW w:w="960" w:type="dxa"/>
            <w:shd w:val="clear" w:color="auto" w:fill="auto"/>
            <w:noWrap/>
            <w:vAlign w:val="bottom"/>
          </w:tcPr>
          <w:p w:rsidR="00D42DF8" w:rsidRDefault="00D42DF8" w:rsidP="00681696">
            <w:pPr>
              <w:spacing w:after="0" w:line="240" w:lineRule="auto"/>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inf</w:t>
            </w:r>
            <w:proofErr w:type="spellEnd"/>
          </w:p>
        </w:tc>
        <w:tc>
          <w:tcPr>
            <w:tcW w:w="1046"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0.10869</w:t>
            </w:r>
          </w:p>
        </w:tc>
        <w:tc>
          <w:tcPr>
            <w:tcW w:w="96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4.47E-09</w:t>
            </w:r>
          </w:p>
        </w:tc>
      </w:tr>
      <w:tr w:rsidR="00D42DF8" w:rsidTr="00681696">
        <w:trPr>
          <w:trHeight w:val="288"/>
        </w:trPr>
        <w:tc>
          <w:tcPr>
            <w:tcW w:w="960" w:type="dxa"/>
            <w:shd w:val="clear" w:color="auto" w:fill="auto"/>
            <w:noWrap/>
          </w:tcPr>
          <w:p w:rsidR="00D42DF8" w:rsidRDefault="00D42DF8" w:rsidP="00681696">
            <w:pPr>
              <w:spacing w:after="0" w:line="240" w:lineRule="auto"/>
              <w:jc w:val="center"/>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halfnorm</w:t>
            </w:r>
            <w:proofErr w:type="spellEnd"/>
          </w:p>
        </w:tc>
        <w:tc>
          <w:tcPr>
            <w:tcW w:w="161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1.71739</w:t>
            </w:r>
          </w:p>
        </w:tc>
        <w:tc>
          <w:tcPr>
            <w:tcW w:w="96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932.5817</w:t>
            </w:r>
          </w:p>
        </w:tc>
        <w:tc>
          <w:tcPr>
            <w:tcW w:w="96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-5173.94</w:t>
            </w:r>
          </w:p>
        </w:tc>
        <w:tc>
          <w:tcPr>
            <w:tcW w:w="960" w:type="dxa"/>
            <w:shd w:val="clear" w:color="auto" w:fill="auto"/>
            <w:noWrap/>
            <w:vAlign w:val="bottom"/>
          </w:tcPr>
          <w:p w:rsidR="00D42DF8" w:rsidRDefault="00D42DF8" w:rsidP="00681696">
            <w:pPr>
              <w:spacing w:after="0" w:line="240" w:lineRule="auto"/>
              <w:rPr>
                <w:rFonts w:ascii="Times New Roman" w:eastAsia="Times New Roman" w:hAnsi="Times New Roman" w:cs="Times New Roman"/>
                <w:color w:val="000000"/>
                <w:sz w:val="18"/>
                <w:szCs w:val="18"/>
              </w:rPr>
            </w:pPr>
            <w:proofErr w:type="spellStart"/>
            <w:r>
              <w:rPr>
                <w:rFonts w:ascii="Times New Roman" w:eastAsia="Times New Roman" w:hAnsi="Times New Roman" w:cs="Times New Roman"/>
                <w:color w:val="000000"/>
                <w:sz w:val="18"/>
                <w:szCs w:val="18"/>
              </w:rPr>
              <w:t>inf</w:t>
            </w:r>
            <w:proofErr w:type="spellEnd"/>
          </w:p>
        </w:tc>
        <w:tc>
          <w:tcPr>
            <w:tcW w:w="1046"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0.125505</w:t>
            </w:r>
          </w:p>
        </w:tc>
        <w:tc>
          <w:tcPr>
            <w:tcW w:w="960" w:type="dxa"/>
            <w:shd w:val="clear" w:color="auto" w:fill="auto"/>
            <w:noWrap/>
            <w:vAlign w:val="bottom"/>
          </w:tcPr>
          <w:p w:rsidR="00D42DF8" w:rsidRDefault="00D42DF8" w:rsidP="00681696">
            <w:pPr>
              <w:spacing w:after="0" w:line="240" w:lineRule="auto"/>
              <w:jc w:val="right"/>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5.78E-12</w:t>
            </w:r>
          </w:p>
        </w:tc>
      </w:tr>
    </w:tbl>
    <w:p w:rsidR="00D42DF8" w:rsidRDefault="00D42DF8" w:rsidP="00D42DF8">
      <w:pPr>
        <w:keepNext/>
        <w:spacing w:line="360" w:lineRule="auto"/>
        <w:jc w:val="both"/>
        <w:rPr>
          <w:rFonts w:ascii="Times New Roman" w:hAnsi="Times New Roman" w:cs="Times New Roman"/>
          <w:sz w:val="24"/>
          <w:szCs w:val="24"/>
        </w:rPr>
      </w:pPr>
      <w:r>
        <w:rPr>
          <w:noProof/>
        </w:rPr>
        <w:lastRenderedPageBreak/>
        <w:drawing>
          <wp:inline distT="0" distB="0" distL="0" distR="0" wp14:anchorId="64FACC9A" wp14:editId="0488280F">
            <wp:extent cx="5943600" cy="4457700"/>
            <wp:effectExtent l="0" t="0" r="0" b="0"/>
            <wp:docPr id="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
                    <pic:cNvPicPr>
                      <a:picLocks noChangeAspect="1"/>
                    </pic:cNvPicPr>
                  </pic:nvPicPr>
                  <pic:blipFill>
                    <a:blip r:embed="rId18"/>
                    <a:stretch/>
                  </pic:blipFill>
                  <pic:spPr bwMode="auto">
                    <a:xfrm>
                      <a:off x="0" y="0"/>
                      <a:ext cx="5943600" cy="4457700"/>
                    </a:xfrm>
                    <a:prstGeom prst="rect">
                      <a:avLst/>
                    </a:prstGeom>
                  </pic:spPr>
                </pic:pic>
              </a:graphicData>
            </a:graphic>
          </wp:inline>
        </w:drawing>
      </w:r>
    </w:p>
    <w:p w:rsidR="00D42DF8" w:rsidRDefault="00D96261" w:rsidP="00D42DF8">
      <w:pPr>
        <w:pStyle w:val="Caption"/>
        <w:spacing w:line="360" w:lineRule="auto"/>
        <w:jc w:val="both"/>
        <w:rPr>
          <w:rFonts w:ascii="Times New Roman" w:hAnsi="Times New Roman" w:cs="Times New Roman"/>
          <w:i w:val="0"/>
          <w:iCs w:val="0"/>
          <w:color w:val="auto"/>
          <w:sz w:val="24"/>
          <w:szCs w:val="24"/>
        </w:rPr>
      </w:pPr>
      <w:r>
        <w:rPr>
          <w:rFonts w:ascii="Times New Roman" w:hAnsi="Times New Roman" w:cs="Times New Roman"/>
          <w:i w:val="0"/>
          <w:iCs w:val="0"/>
          <w:color w:val="auto"/>
          <w:sz w:val="20"/>
          <w:szCs w:val="20"/>
        </w:rPr>
        <w:t xml:space="preserve">Tabl2 2 &amp; Figure 1 </w:t>
      </w:r>
      <w:r w:rsidRPr="00686E2C">
        <w:rPr>
          <w:rFonts w:ascii="Times New Roman" w:hAnsi="Times New Roman" w:cs="Times New Roman"/>
          <w:i w:val="0"/>
          <w:iCs w:val="0"/>
          <w:sz w:val="20"/>
          <w:szCs w:val="20"/>
        </w:rPr>
        <w:t>(high resolution image)</w:t>
      </w:r>
      <w:r w:rsidR="00D42DF8">
        <w:rPr>
          <w:rFonts w:ascii="Times New Roman" w:hAnsi="Times New Roman" w:cs="Times New Roman"/>
          <w:i w:val="0"/>
          <w:iCs w:val="0"/>
          <w:color w:val="auto"/>
          <w:sz w:val="20"/>
          <w:szCs w:val="20"/>
        </w:rPr>
        <w:t>: Student-T distribution fits optimal to describe the likelihood function of growth rate values in Germany</w:t>
      </w:r>
      <w:r w:rsidR="00D42DF8">
        <w:rPr>
          <w:rFonts w:ascii="Times New Roman" w:hAnsi="Times New Roman" w:cs="Times New Roman"/>
          <w:i w:val="0"/>
          <w:iCs w:val="0"/>
          <w:color w:val="auto"/>
          <w:sz w:val="24"/>
          <w:szCs w:val="24"/>
        </w:rPr>
        <w:t xml:space="preserve">. </w:t>
      </w:r>
    </w:p>
    <w:p w:rsidR="008A6B28" w:rsidRDefault="00791661">
      <w:pPr>
        <w:pStyle w:val="Heading3"/>
        <w:rPr>
          <w:rStyle w:val="markedcontent"/>
          <w:rFonts w:ascii="Times New Roman" w:hAnsi="Times New Roman" w:cs="Times New Roman"/>
          <w:sz w:val="24"/>
          <w:szCs w:val="24"/>
        </w:rPr>
      </w:pPr>
      <w:r>
        <w:rPr>
          <w:rStyle w:val="markedcontent"/>
          <w:rFonts w:ascii="Times New Roman" w:hAnsi="Times New Roman" w:cs="Times New Roman"/>
          <w:sz w:val="24"/>
          <w:szCs w:val="24"/>
        </w:rPr>
        <w:t>3.</w:t>
      </w:r>
      <w:r w:rsidR="00A911DC">
        <w:rPr>
          <w:rStyle w:val="markedcontent"/>
          <w:rFonts w:ascii="Times New Roman" w:hAnsi="Times New Roman" w:cs="Times New Roman"/>
          <w:sz w:val="24"/>
          <w:szCs w:val="24"/>
        </w:rPr>
        <w:t xml:space="preserve">5 </w:t>
      </w:r>
      <w:r>
        <w:rPr>
          <w:rStyle w:val="markedcontent"/>
          <w:rFonts w:ascii="Times New Roman" w:hAnsi="Times New Roman" w:cs="Times New Roman"/>
          <w:sz w:val="24"/>
          <w:szCs w:val="24"/>
        </w:rPr>
        <w:t>Applied</w:t>
      </w:r>
      <w:r w:rsidR="00DF2F8E">
        <w:rPr>
          <w:rStyle w:val="markedcontent"/>
          <w:rFonts w:ascii="Times New Roman" w:hAnsi="Times New Roman" w:cs="Times New Roman"/>
          <w:sz w:val="24"/>
          <w:szCs w:val="24"/>
        </w:rPr>
        <w:t xml:space="preserve"> Bayesian approach</w:t>
      </w:r>
    </w:p>
    <w:p w:rsidR="008A6B28" w:rsidRPr="00323E40" w:rsidRDefault="00DF2F8E" w:rsidP="00F10DA3">
      <w:pPr>
        <w:spacing w:line="360" w:lineRule="auto"/>
        <w:jc w:val="both"/>
        <w:rPr>
          <w:rStyle w:val="markedcontent"/>
          <w:rFonts w:ascii="Times New Roman" w:hAnsi="Times New Roman" w:cs="Times New Roman"/>
          <w:sz w:val="24"/>
          <w:szCs w:val="24"/>
        </w:rPr>
      </w:pPr>
      <w:r>
        <w:rPr>
          <w:rStyle w:val="markedcontent"/>
          <w:rFonts w:ascii="Times New Roman" w:hAnsi="Times New Roman" w:cs="Times New Roman"/>
          <w:sz w:val="24"/>
          <w:szCs w:val="24"/>
        </w:rPr>
        <w:t>To ob</w:t>
      </w:r>
      <w:r w:rsidR="00886124">
        <w:rPr>
          <w:rStyle w:val="markedcontent"/>
          <w:rFonts w:ascii="Times New Roman" w:hAnsi="Times New Roman" w:cs="Times New Roman"/>
          <w:sz w:val="24"/>
          <w:szCs w:val="24"/>
        </w:rPr>
        <w:t>tain the posterior probability</w:t>
      </w:r>
      <w:r>
        <w:rPr>
          <w:rStyle w:val="markedcontent"/>
          <w:rFonts w:ascii="Times New Roman" w:hAnsi="Times New Roman" w:cs="Times New Roman"/>
          <w:sz w:val="24"/>
          <w:szCs w:val="24"/>
        </w:rPr>
        <w:t xml:space="preserve"> </w:t>
      </w:r>
      <w:r>
        <w:rPr>
          <w:rFonts w:ascii="Times New Roman" w:hAnsi="Times New Roman" w:cs="Times New Roman"/>
          <w:sz w:val="24"/>
          <w:szCs w:val="24"/>
        </w:rPr>
        <w:t xml:space="preserve">of </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r>
          <w:rPr>
            <w:rFonts w:ascii="Cambria Math" w:hAnsi="Cambria Math" w:cs="Times New Roman"/>
            <w:sz w:val="24"/>
            <w:szCs w:val="24"/>
          </w:rPr>
          <m:t>s</m:t>
        </m:r>
      </m:oMath>
      <w:r>
        <w:rPr>
          <w:rStyle w:val="markedcontent"/>
          <w:rFonts w:ascii="Times New Roman" w:hAnsi="Times New Roman" w:cs="Times New Roman"/>
          <w:sz w:val="24"/>
          <w:szCs w:val="24"/>
        </w:rPr>
        <w:t xml:space="preserve"> with regard to presence and not-presence of a selected </w:t>
      </w:r>
      <w:r w:rsidR="00967ADF">
        <w:rPr>
          <w:rStyle w:val="markedcontent"/>
          <w:rFonts w:ascii="Times New Roman" w:hAnsi="Times New Roman" w:cs="Times New Roman"/>
          <w:sz w:val="24"/>
          <w:szCs w:val="24"/>
        </w:rPr>
        <w:t>factor</w:t>
      </w:r>
      <w:r>
        <w:rPr>
          <w:rStyle w:val="markedcontent"/>
          <w:rFonts w:ascii="Times New Roman" w:hAnsi="Times New Roman" w:cs="Times New Roman"/>
          <w:sz w:val="24"/>
          <w:szCs w:val="24"/>
        </w:rPr>
        <w:t xml:space="preserve">, we analyze the data based on a </w:t>
      </w:r>
      <w:r w:rsidRPr="00886124">
        <w:rPr>
          <w:rStyle w:val="markedcontent"/>
          <w:rFonts w:ascii="Times New Roman" w:hAnsi="Times New Roman" w:cs="Times New Roman"/>
          <w:i/>
          <w:iCs/>
          <w:sz w:val="24"/>
          <w:szCs w:val="24"/>
        </w:rPr>
        <w:t>hierarchical</w:t>
      </w:r>
      <w:r>
        <w:rPr>
          <w:rStyle w:val="markedcontent"/>
          <w:rFonts w:ascii="Times New Roman" w:hAnsi="Times New Roman" w:cs="Times New Roman"/>
          <w:sz w:val="24"/>
          <w:szCs w:val="24"/>
        </w:rPr>
        <w:t xml:space="preserve"> Bayesian </w:t>
      </w:r>
      <w:r w:rsidR="008E400B">
        <w:rPr>
          <w:rStyle w:val="markedcontent"/>
          <w:rFonts w:ascii="Times New Roman" w:hAnsi="Times New Roman" w:cs="Times New Roman"/>
          <w:sz w:val="24"/>
          <w:szCs w:val="24"/>
        </w:rPr>
        <w:t>model</w:t>
      </w:r>
      <w:r>
        <w:rPr>
          <w:rStyle w:val="markedcontent"/>
          <w:rFonts w:ascii="Times New Roman" w:hAnsi="Times New Roman" w:cs="Times New Roman"/>
          <w:sz w:val="24"/>
          <w:szCs w:val="24"/>
        </w:rPr>
        <w:t xml:space="preserve"> (</w:t>
      </w:r>
      <w:hyperlink r:id="rId19" w:tooltip="https://www.taylorfrancis.com/books/mono/10.1201/9780429113352/bayesian-hierarchical-models-peter-congdon" w:history="1">
        <w:r>
          <w:rPr>
            <w:rStyle w:val="Hyperlink"/>
            <w:rFonts w:ascii="Times New Roman" w:hAnsi="Times New Roman" w:cs="Times New Roman"/>
            <w:color w:val="auto"/>
            <w:sz w:val="24"/>
            <w:szCs w:val="24"/>
          </w:rPr>
          <w:t>Congdon, 2019</w:t>
        </w:r>
      </w:hyperlink>
      <w:r>
        <w:rPr>
          <w:rFonts w:ascii="Times New Roman" w:hAnsi="Times New Roman" w:cs="Times New Roman"/>
          <w:sz w:val="24"/>
          <w:szCs w:val="24"/>
        </w:rPr>
        <w:t xml:space="preserve">; </w:t>
      </w:r>
      <w:hyperlink r:id="rId20" w:tooltip="https://www.bayesrulesbook.com/" w:history="1">
        <w:r>
          <w:rPr>
            <w:rStyle w:val="Hyperlink"/>
            <w:rFonts w:ascii="Times New Roman" w:hAnsi="Times New Roman" w:cs="Times New Roman"/>
            <w:color w:val="auto"/>
            <w:sz w:val="24"/>
            <w:szCs w:val="24"/>
          </w:rPr>
          <w:t>Johnson et. al., 2022</w:t>
        </w:r>
      </w:hyperlink>
      <w:r>
        <w:rPr>
          <w:rFonts w:ascii="Times New Roman" w:hAnsi="Times New Roman" w:cs="Times New Roman"/>
          <w:sz w:val="24"/>
          <w:szCs w:val="24"/>
        </w:rPr>
        <w:t>)</w:t>
      </w:r>
      <w:r>
        <w:rPr>
          <w:rStyle w:val="markedcontent"/>
          <w:rFonts w:ascii="Times New Roman" w:hAnsi="Times New Roman" w:cs="Times New Roman"/>
          <w:sz w:val="24"/>
          <w:szCs w:val="24"/>
        </w:rPr>
        <w:t xml:space="preserve">. A hierarchical Bayesian model </w:t>
      </w:r>
      <w:r w:rsidR="00886124">
        <w:rPr>
          <w:rStyle w:val="markedcontent"/>
          <w:rFonts w:ascii="Times New Roman" w:hAnsi="Times New Roman" w:cs="Times New Roman"/>
          <w:sz w:val="24"/>
          <w:szCs w:val="24"/>
        </w:rPr>
        <w:t>considers a hyper parameter</w:t>
      </w:r>
      <w:r>
        <w:rPr>
          <w:rStyle w:val="markedcontent"/>
          <w:rFonts w:ascii="Times New Roman" w:hAnsi="Times New Roman" w:cs="Times New Roman"/>
          <w:sz w:val="24"/>
          <w:szCs w:val="24"/>
        </w:rPr>
        <w:t xml:space="preserve"> </w:t>
      </w:r>
      <w:r w:rsidR="00886124">
        <w:rPr>
          <w:rStyle w:val="markedcontent"/>
          <w:rFonts w:ascii="Times New Roman" w:hAnsi="Times New Roman" w:cs="Times New Roman"/>
          <w:sz w:val="24"/>
          <w:szCs w:val="24"/>
        </w:rPr>
        <w:t>at</w:t>
      </w:r>
      <w:r>
        <w:rPr>
          <w:rStyle w:val="markedcontent"/>
          <w:rFonts w:ascii="Times New Roman" w:hAnsi="Times New Roman" w:cs="Times New Roman"/>
          <w:sz w:val="24"/>
          <w:szCs w:val="24"/>
        </w:rPr>
        <w:t xml:space="preserve"> the top level</w:t>
      </w:r>
      <w:r w:rsidR="00886124">
        <w:rPr>
          <w:rStyle w:val="markedcontent"/>
          <w:rFonts w:ascii="Times New Roman" w:hAnsi="Times New Roman" w:cs="Times New Roman"/>
          <w:sz w:val="24"/>
          <w:szCs w:val="24"/>
        </w:rPr>
        <w:t xml:space="preserve"> of its analysis</w:t>
      </w:r>
      <w:r>
        <w:rPr>
          <w:rStyle w:val="markedcontent"/>
          <w:rFonts w:ascii="Times New Roman" w:hAnsi="Times New Roman" w:cs="Times New Roman"/>
          <w:sz w:val="24"/>
          <w:szCs w:val="24"/>
        </w:rPr>
        <w:t xml:space="preserve">, as well as specific parameters in its lower level. </w:t>
      </w:r>
      <w:r>
        <w:rPr>
          <w:rFonts w:ascii="Times New Roman" w:hAnsi="Times New Roman" w:cs="Times New Roman"/>
          <w:sz w:val="24"/>
          <w:szCs w:val="24"/>
        </w:rPr>
        <w:t xml:space="preserve">The top hierarchical level takes the </w:t>
      </w:r>
      <w:r w:rsidR="00051682">
        <w:rPr>
          <w:rFonts w:ascii="Times New Roman" w:hAnsi="Times New Roman" w:cs="Times New Roman"/>
          <w:sz w:val="24"/>
          <w:szCs w:val="24"/>
        </w:rPr>
        <w:t>overall</w:t>
      </w:r>
      <w:r>
        <w:rPr>
          <w:rFonts w:ascii="Times New Roman" w:hAnsi="Times New Roman" w:cs="Times New Roman"/>
          <w:sz w:val="24"/>
          <w:szCs w:val="24"/>
        </w:rPr>
        <w:t xml:space="preserve"> </w:t>
      </w:r>
      <w:r w:rsidR="00051682">
        <w:rPr>
          <w:rFonts w:ascii="Times New Roman" w:hAnsi="Times New Roman" w:cs="Times New Roman"/>
          <w:sz w:val="24"/>
          <w:szCs w:val="24"/>
        </w:rPr>
        <w:t>distribution of growth rates in a country</w:t>
      </w:r>
      <w:r>
        <w:rPr>
          <w:rFonts w:ascii="Times New Roman" w:hAnsi="Times New Roman" w:cs="Times New Roman"/>
          <w:sz w:val="24"/>
          <w:szCs w:val="24"/>
        </w:rPr>
        <w:t xml:space="preserve"> into account</w:t>
      </w:r>
      <w:r w:rsidR="00051682">
        <w:rPr>
          <w:rFonts w:ascii="Times New Roman" w:hAnsi="Times New Roman" w:cs="Times New Roman"/>
          <w:sz w:val="24"/>
          <w:szCs w:val="24"/>
        </w:rPr>
        <w:t xml:space="preserve"> (through</w:t>
      </w:r>
      <w:r>
        <w:rPr>
          <w:rFonts w:ascii="Times New Roman" w:hAnsi="Times New Roman" w:cs="Times New Roman"/>
          <w:sz w:val="24"/>
          <w:szCs w:val="24"/>
        </w:rPr>
        <w:t xml:space="preserve"> pooling all </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r>
          <w:rPr>
            <w:rFonts w:ascii="Cambria Math" w:hAnsi="Cambria Math" w:cs="Times New Roman"/>
            <w:sz w:val="24"/>
            <w:szCs w:val="24"/>
          </w:rPr>
          <m:t>s</m:t>
        </m:r>
      </m:oMath>
      <w:r w:rsidR="00051682">
        <w:rPr>
          <w:rStyle w:val="markedcontent"/>
          <w:rFonts w:ascii="Times New Roman" w:hAnsi="Times New Roman" w:cs="Times New Roman"/>
          <w:sz w:val="24"/>
          <w:szCs w:val="24"/>
        </w:rPr>
        <w:t xml:space="preserve"> </w:t>
      </w:r>
      <w:r w:rsidR="000C5DDD">
        <w:rPr>
          <w:rFonts w:ascii="Times New Roman" w:hAnsi="Times New Roman" w:cs="Times New Roman"/>
          <w:sz w:val="24"/>
          <w:szCs w:val="24"/>
        </w:rPr>
        <w:t xml:space="preserve">data from a country regardless of </w:t>
      </w:r>
      <w:r w:rsidR="00E73186">
        <w:rPr>
          <w:rFonts w:ascii="Times New Roman" w:hAnsi="Times New Roman" w:cs="Times New Roman"/>
          <w:sz w:val="24"/>
          <w:szCs w:val="24"/>
        </w:rPr>
        <w:t xml:space="preserve">the condition whether a certain factor </w:t>
      </w:r>
      <w:r w:rsidR="00E73186" w:rsidRPr="00E73186">
        <w:rPr>
          <w:rFonts w:ascii="Times New Roman" w:hAnsi="Times New Roman" w:cs="Times New Roman"/>
          <w:i/>
          <w:iCs/>
          <w:sz w:val="24"/>
          <w:szCs w:val="24"/>
        </w:rPr>
        <w:t>E</w:t>
      </w:r>
      <w:r w:rsidR="00E73186">
        <w:rPr>
          <w:rFonts w:ascii="Times New Roman" w:hAnsi="Times New Roman" w:cs="Times New Roman"/>
          <w:sz w:val="24"/>
          <w:szCs w:val="24"/>
        </w:rPr>
        <w:t xml:space="preserve"> has been active or not</w:t>
      </w:r>
      <w:r w:rsidR="000C5DDD">
        <w:rPr>
          <w:rFonts w:ascii="Times New Roman" w:hAnsi="Times New Roman" w:cs="Times New Roman"/>
          <w:sz w:val="24"/>
          <w:szCs w:val="24"/>
        </w:rPr>
        <w:t>)</w:t>
      </w:r>
      <w:r>
        <w:rPr>
          <w:rFonts w:ascii="Times New Roman" w:hAnsi="Times New Roman" w:cs="Times New Roman"/>
          <w:sz w:val="24"/>
          <w:szCs w:val="24"/>
        </w:rPr>
        <w:t xml:space="preserve">. The lower level takes the </w:t>
      </w:r>
      <w:r w:rsidR="00886124">
        <w:rPr>
          <w:rFonts w:ascii="Times New Roman" w:hAnsi="Times New Roman" w:cs="Times New Roman"/>
          <w:sz w:val="24"/>
          <w:szCs w:val="24"/>
        </w:rPr>
        <w:t>situation</w:t>
      </w:r>
      <w:r>
        <w:rPr>
          <w:rFonts w:ascii="Times New Roman" w:hAnsi="Times New Roman" w:cs="Times New Roman"/>
          <w:sz w:val="24"/>
          <w:szCs w:val="24"/>
        </w:rPr>
        <w:t>-specific developments into account</w:t>
      </w:r>
      <w:r w:rsidR="00886124">
        <w:rPr>
          <w:rFonts w:ascii="Times New Roman" w:hAnsi="Times New Roman" w:cs="Times New Roman"/>
          <w:sz w:val="24"/>
          <w:szCs w:val="24"/>
        </w:rPr>
        <w:t xml:space="preserve"> i.e. whether </w:t>
      </w:r>
      <w:r w:rsidR="00E73186">
        <w:rPr>
          <w:rFonts w:ascii="Times New Roman" w:hAnsi="Times New Roman" w:cs="Times New Roman"/>
          <w:sz w:val="24"/>
          <w:szCs w:val="24"/>
        </w:rPr>
        <w:t>the selected influential factor</w:t>
      </w:r>
      <w:r w:rsidR="00886124">
        <w:rPr>
          <w:rFonts w:ascii="Times New Roman" w:hAnsi="Times New Roman" w:cs="Times New Roman"/>
          <w:sz w:val="24"/>
          <w:szCs w:val="24"/>
        </w:rPr>
        <w:t xml:space="preserve"> is implemented or not</w:t>
      </w:r>
      <w:r>
        <w:rPr>
          <w:rFonts w:ascii="Times New Roman" w:hAnsi="Times New Roman" w:cs="Times New Roman"/>
          <w:sz w:val="24"/>
          <w:szCs w:val="24"/>
        </w:rPr>
        <w:t xml:space="preserve">. </w:t>
      </w:r>
      <w:r w:rsidR="00895181">
        <w:rPr>
          <w:rFonts w:ascii="Times New Roman" w:hAnsi="Times New Roman" w:cs="Times New Roman"/>
          <w:sz w:val="24"/>
          <w:szCs w:val="24"/>
        </w:rPr>
        <w:t>The model used in this paper is illustrated in the fi</w:t>
      </w:r>
      <w:r w:rsidR="00BD1F6D">
        <w:rPr>
          <w:rFonts w:ascii="Times New Roman" w:hAnsi="Times New Roman" w:cs="Times New Roman"/>
          <w:sz w:val="24"/>
          <w:szCs w:val="24"/>
        </w:rPr>
        <w:t>gure 2</w:t>
      </w:r>
      <w:r w:rsidR="001C16FF">
        <w:rPr>
          <w:rFonts w:ascii="Times New Roman" w:hAnsi="Times New Roman" w:cs="Times New Roman"/>
          <w:sz w:val="24"/>
          <w:szCs w:val="24"/>
        </w:rPr>
        <w:t>.</w:t>
      </w:r>
      <w:r w:rsidR="00895181">
        <w:rPr>
          <w:rFonts w:ascii="Times New Roman" w:hAnsi="Times New Roman" w:cs="Times New Roman"/>
          <w:sz w:val="24"/>
          <w:szCs w:val="24"/>
        </w:rPr>
        <w:t xml:space="preserve"> </w:t>
      </w:r>
      <w:r w:rsidR="00E1677C">
        <w:rPr>
          <w:rFonts w:ascii="Times New Roman" w:hAnsi="Times New Roman" w:cs="Times New Roman"/>
          <w:sz w:val="24"/>
          <w:szCs w:val="24"/>
        </w:rPr>
        <w:t>The to</w:t>
      </w:r>
      <w:r w:rsidR="00BD1F6D">
        <w:rPr>
          <w:rFonts w:ascii="Times New Roman" w:hAnsi="Times New Roman" w:cs="Times New Roman"/>
          <w:sz w:val="24"/>
          <w:szCs w:val="24"/>
        </w:rPr>
        <w:t>p level of the model in figure 2</w:t>
      </w:r>
      <w:r>
        <w:rPr>
          <w:rStyle w:val="markedcontent"/>
          <w:rFonts w:ascii="Times New Roman" w:hAnsi="Times New Roman" w:cs="Times New Roman"/>
          <w:sz w:val="24"/>
          <w:szCs w:val="24"/>
        </w:rPr>
        <w:t xml:space="preserve"> </w:t>
      </w:r>
      <w:r w:rsidR="00E1677C">
        <w:rPr>
          <w:rStyle w:val="markedcontent"/>
          <w:rFonts w:ascii="Times New Roman" w:hAnsi="Times New Roman" w:cs="Times New Roman"/>
          <w:sz w:val="24"/>
          <w:szCs w:val="24"/>
        </w:rPr>
        <w:t xml:space="preserve">depicts the </w:t>
      </w:r>
      <w:r>
        <w:rPr>
          <w:rStyle w:val="markedcontent"/>
          <w:rFonts w:ascii="Times New Roman" w:hAnsi="Times New Roman" w:cs="Times New Roman"/>
          <w:sz w:val="24"/>
          <w:szCs w:val="24"/>
        </w:rPr>
        <w:t xml:space="preserve">hyper </w:t>
      </w:r>
      <w:r w:rsidR="00E1677C">
        <w:rPr>
          <w:rStyle w:val="markedcontent"/>
          <w:rFonts w:ascii="Times New Roman" w:hAnsi="Times New Roman" w:cs="Times New Roman"/>
          <w:sz w:val="24"/>
          <w:szCs w:val="24"/>
        </w:rPr>
        <w:t>mu parameter, which is a normal distribution function consisting of</w:t>
      </w:r>
      <w:r>
        <w:rPr>
          <w:rStyle w:val="markedcontent"/>
          <w:rFonts w:ascii="Times New Roman" w:hAnsi="Times New Roman" w:cs="Times New Roman"/>
          <w:sz w:val="24"/>
          <w:szCs w:val="24"/>
        </w:rPr>
        <w:t xml:space="preserve"> </w:t>
      </w:r>
      <w:r w:rsidR="00E1677C">
        <w:rPr>
          <w:rStyle w:val="markedcontent"/>
          <w:rFonts w:ascii="Times New Roman" w:hAnsi="Times New Roman" w:cs="Times New Roman"/>
          <w:sz w:val="24"/>
          <w:szCs w:val="24"/>
        </w:rPr>
        <w:t xml:space="preserve">a mean and a standard deviation, which both are resulting from </w:t>
      </w:r>
      <w:r w:rsidR="00E1677C">
        <w:rPr>
          <w:rFonts w:ascii="Times New Roman" w:hAnsi="Times New Roman" w:cs="Times New Roman"/>
          <w:sz w:val="24"/>
          <w:szCs w:val="24"/>
        </w:rPr>
        <w:t xml:space="preserve">pooling all </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r>
          <w:rPr>
            <w:rFonts w:ascii="Cambria Math" w:hAnsi="Cambria Math" w:cs="Times New Roman"/>
            <w:sz w:val="24"/>
            <w:szCs w:val="24"/>
          </w:rPr>
          <m:t>s</m:t>
        </m:r>
      </m:oMath>
      <w:r w:rsidR="00E1677C">
        <w:rPr>
          <w:rStyle w:val="markedcontent"/>
          <w:rFonts w:ascii="Times New Roman" w:hAnsi="Times New Roman" w:cs="Times New Roman"/>
          <w:sz w:val="24"/>
          <w:szCs w:val="24"/>
        </w:rPr>
        <w:t xml:space="preserve"> </w:t>
      </w:r>
      <w:r w:rsidR="00E1677C">
        <w:rPr>
          <w:rFonts w:ascii="Times New Roman" w:hAnsi="Times New Roman" w:cs="Times New Roman"/>
          <w:sz w:val="24"/>
          <w:szCs w:val="24"/>
        </w:rPr>
        <w:t>data from a related country.</w:t>
      </w:r>
      <w:r>
        <w:rPr>
          <w:rStyle w:val="markedcontent"/>
          <w:rFonts w:ascii="Times New Roman" w:hAnsi="Times New Roman" w:cs="Times New Roman"/>
          <w:sz w:val="24"/>
          <w:szCs w:val="24"/>
        </w:rPr>
        <w:t xml:space="preserve"> </w:t>
      </w:r>
      <w:r w:rsidR="00E1677C">
        <w:rPr>
          <w:rStyle w:val="markedcontent"/>
          <w:rFonts w:ascii="Times New Roman" w:hAnsi="Times New Roman" w:cs="Times New Roman"/>
          <w:sz w:val="24"/>
          <w:szCs w:val="24"/>
        </w:rPr>
        <w:t>The left hand side of the model</w:t>
      </w:r>
      <w:r w:rsidR="00EB1508">
        <w:rPr>
          <w:rStyle w:val="markedcontent"/>
          <w:rFonts w:ascii="Times New Roman" w:hAnsi="Times New Roman" w:cs="Times New Roman"/>
          <w:sz w:val="24"/>
          <w:szCs w:val="24"/>
        </w:rPr>
        <w:t xml:space="preserve"> (consisting of variables with </w:t>
      </w:r>
      <w:r w:rsidR="00EB1508" w:rsidRPr="00EB1508">
        <w:rPr>
          <w:rStyle w:val="markedcontent"/>
          <w:rFonts w:ascii="Times New Roman" w:hAnsi="Times New Roman" w:cs="Times New Roman"/>
          <w:i/>
          <w:iCs/>
          <w:sz w:val="24"/>
          <w:szCs w:val="24"/>
        </w:rPr>
        <w:t>positive</w:t>
      </w:r>
      <w:r w:rsidR="00EB1508">
        <w:rPr>
          <w:rStyle w:val="markedcontent"/>
          <w:rFonts w:ascii="Times New Roman" w:hAnsi="Times New Roman" w:cs="Times New Roman"/>
          <w:sz w:val="24"/>
          <w:szCs w:val="24"/>
        </w:rPr>
        <w:t xml:space="preserve"> sign at the end) devotes itself to the effect of </w:t>
      </w:r>
      <w:r w:rsidR="00F10DA3">
        <w:rPr>
          <w:rFonts w:ascii="Times New Roman" w:hAnsi="Times New Roman" w:cs="Times New Roman"/>
          <w:i/>
          <w:iCs/>
          <w:sz w:val="24"/>
          <w:szCs w:val="24"/>
        </w:rPr>
        <w:t>activation of</w:t>
      </w:r>
      <w:r w:rsidR="00EB1508">
        <w:rPr>
          <w:rFonts w:ascii="Times New Roman" w:hAnsi="Times New Roman" w:cs="Times New Roman"/>
          <w:sz w:val="24"/>
          <w:szCs w:val="24"/>
        </w:rPr>
        <w:t xml:space="preserve"> a certain </w:t>
      </w:r>
      <w:r w:rsidR="00F10DA3">
        <w:rPr>
          <w:rFonts w:ascii="Times New Roman" w:hAnsi="Times New Roman" w:cs="Times New Roman"/>
          <w:sz w:val="24"/>
          <w:szCs w:val="24"/>
        </w:rPr>
        <w:t xml:space="preserve">factor </w:t>
      </w:r>
      <w:r w:rsidR="00F10DA3" w:rsidRPr="00F10DA3">
        <w:rPr>
          <w:rFonts w:ascii="Times New Roman" w:hAnsi="Times New Roman" w:cs="Times New Roman"/>
          <w:i/>
          <w:iCs/>
          <w:sz w:val="24"/>
          <w:szCs w:val="24"/>
        </w:rPr>
        <w:t>E</w:t>
      </w:r>
      <w:r w:rsidR="00EB1508">
        <w:rPr>
          <w:rFonts w:ascii="Times New Roman" w:hAnsi="Times New Roman" w:cs="Times New Roman"/>
          <w:sz w:val="24"/>
          <w:szCs w:val="24"/>
        </w:rPr>
        <w:t xml:space="preserve"> on the epidemic growth rates</w:t>
      </w:r>
      <w:r>
        <w:rPr>
          <w:rStyle w:val="markedcontent"/>
          <w:rFonts w:ascii="Times New Roman" w:hAnsi="Times New Roman" w:cs="Times New Roman"/>
          <w:sz w:val="24"/>
          <w:szCs w:val="24"/>
        </w:rPr>
        <w:t>.</w:t>
      </w:r>
      <w:r w:rsidR="00EB1508">
        <w:rPr>
          <w:rStyle w:val="markedcontent"/>
          <w:rFonts w:ascii="Times New Roman" w:hAnsi="Times New Roman" w:cs="Times New Roman"/>
          <w:sz w:val="24"/>
          <w:szCs w:val="24"/>
        </w:rPr>
        <w:t xml:space="preserve"> The right hand side of the model (consisting of variables with </w:t>
      </w:r>
      <w:r w:rsidR="00EB1508" w:rsidRPr="00EB1508">
        <w:rPr>
          <w:rStyle w:val="markedcontent"/>
          <w:rFonts w:ascii="Times New Roman" w:hAnsi="Times New Roman" w:cs="Times New Roman"/>
          <w:i/>
          <w:iCs/>
          <w:sz w:val="24"/>
          <w:szCs w:val="24"/>
        </w:rPr>
        <w:t>negative</w:t>
      </w:r>
      <w:r w:rsidR="00EB1508">
        <w:rPr>
          <w:rStyle w:val="markedcontent"/>
          <w:rFonts w:ascii="Times New Roman" w:hAnsi="Times New Roman" w:cs="Times New Roman"/>
          <w:sz w:val="24"/>
          <w:szCs w:val="24"/>
        </w:rPr>
        <w:t xml:space="preserve"> sign at the end) devotes itself to the effect of </w:t>
      </w:r>
      <w:r w:rsidR="00EB1508" w:rsidRPr="00EB1508">
        <w:rPr>
          <w:rStyle w:val="markedcontent"/>
          <w:rFonts w:ascii="Times New Roman" w:hAnsi="Times New Roman" w:cs="Times New Roman"/>
          <w:i/>
          <w:iCs/>
          <w:sz w:val="24"/>
          <w:szCs w:val="24"/>
        </w:rPr>
        <w:t>non-</w:t>
      </w:r>
      <w:r w:rsidR="00F10DA3">
        <w:rPr>
          <w:rFonts w:ascii="Times New Roman" w:hAnsi="Times New Roman" w:cs="Times New Roman"/>
          <w:i/>
          <w:iCs/>
          <w:sz w:val="24"/>
          <w:szCs w:val="24"/>
        </w:rPr>
        <w:t>activation</w:t>
      </w:r>
      <w:r w:rsidR="00EB1508">
        <w:rPr>
          <w:rFonts w:ascii="Times New Roman" w:hAnsi="Times New Roman" w:cs="Times New Roman"/>
          <w:sz w:val="24"/>
          <w:szCs w:val="24"/>
        </w:rPr>
        <w:t xml:space="preserve"> of the selected </w:t>
      </w:r>
      <w:r w:rsidR="00F10DA3">
        <w:rPr>
          <w:rFonts w:ascii="Times New Roman" w:hAnsi="Times New Roman" w:cs="Times New Roman"/>
          <w:sz w:val="24"/>
          <w:szCs w:val="24"/>
        </w:rPr>
        <w:t>factor</w:t>
      </w:r>
      <w:r w:rsidR="00EB1508">
        <w:rPr>
          <w:rFonts w:ascii="Times New Roman" w:hAnsi="Times New Roman" w:cs="Times New Roman"/>
          <w:sz w:val="24"/>
          <w:szCs w:val="24"/>
        </w:rPr>
        <w:t xml:space="preserve"> on the epidemic growth rates</w:t>
      </w:r>
      <w:r w:rsidR="00EB1508">
        <w:rPr>
          <w:rStyle w:val="markedcontent"/>
          <w:rFonts w:ascii="Times New Roman" w:hAnsi="Times New Roman" w:cs="Times New Roman"/>
          <w:sz w:val="24"/>
          <w:szCs w:val="24"/>
        </w:rPr>
        <w:t>.</w:t>
      </w:r>
      <w:r>
        <w:rPr>
          <w:rStyle w:val="markedcontent"/>
          <w:rFonts w:ascii="Times New Roman" w:hAnsi="Times New Roman" w:cs="Times New Roman"/>
          <w:sz w:val="24"/>
          <w:szCs w:val="24"/>
        </w:rPr>
        <w:t xml:space="preserve"> </w:t>
      </w:r>
      <w:r w:rsidR="00EE465C">
        <w:rPr>
          <w:rFonts w:ascii="Times New Roman" w:hAnsi="Times New Roman" w:cs="Times New Roman"/>
          <w:sz w:val="24"/>
          <w:szCs w:val="24"/>
        </w:rPr>
        <w:t xml:space="preserve">The lower level of the model is </w:t>
      </w:r>
      <w:r>
        <w:rPr>
          <w:rFonts w:ascii="Times New Roman" w:hAnsi="Times New Roman" w:cs="Times New Roman"/>
          <w:sz w:val="24"/>
          <w:szCs w:val="24"/>
        </w:rPr>
        <w:t xml:space="preserve">inferring </w:t>
      </w:r>
      <w:r w:rsidR="005D71AC">
        <w:rPr>
          <w:rFonts w:ascii="Times New Roman" w:hAnsi="Times New Roman" w:cs="Times New Roman"/>
          <w:sz w:val="24"/>
          <w:szCs w:val="24"/>
        </w:rPr>
        <w:t xml:space="preserve">posterior </w:t>
      </w:r>
      <w:r>
        <w:rPr>
          <w:rFonts w:ascii="Times New Roman" w:hAnsi="Times New Roman" w:cs="Times New Roman"/>
          <w:sz w:val="24"/>
          <w:szCs w:val="24"/>
        </w:rPr>
        <w:t xml:space="preserve">predictive </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oMath>
      <w:r>
        <w:rPr>
          <w:rStyle w:val="markedcontent"/>
          <w:rFonts w:ascii="Times New Roman" w:hAnsi="Times New Roman" w:cs="Times New Roman"/>
          <w:sz w:val="24"/>
          <w:szCs w:val="24"/>
        </w:rPr>
        <w:t xml:space="preserve"> values in our analysis with regard to </w:t>
      </w:r>
      <w:r w:rsidR="00EE465C">
        <w:rPr>
          <w:rStyle w:val="markedcontent"/>
          <w:rFonts w:ascii="Times New Roman" w:hAnsi="Times New Roman" w:cs="Times New Roman"/>
          <w:sz w:val="24"/>
          <w:szCs w:val="24"/>
        </w:rPr>
        <w:t>the positive signed and negative signed parameters, respectively</w:t>
      </w:r>
      <w:r>
        <w:rPr>
          <w:rStyle w:val="markedcontent"/>
          <w:rFonts w:ascii="Times New Roman" w:hAnsi="Times New Roman" w:cs="Times New Roman"/>
          <w:sz w:val="24"/>
          <w:szCs w:val="24"/>
        </w:rPr>
        <w:t>. The</w:t>
      </w:r>
      <w:r w:rsidR="00323E40">
        <w:rPr>
          <w:rStyle w:val="markedcontent"/>
          <w:rFonts w:ascii="Times New Roman" w:hAnsi="Times New Roman" w:cs="Times New Roman"/>
          <w:sz w:val="24"/>
          <w:szCs w:val="24"/>
        </w:rPr>
        <w:t xml:space="preserve">reby, </w:t>
      </w:r>
      <w:r w:rsidR="005D71AC">
        <w:rPr>
          <w:rStyle w:val="markedcontent"/>
          <w:rFonts w:ascii="Times New Roman" w:hAnsi="Times New Roman" w:cs="Times New Roman"/>
          <w:sz w:val="24"/>
          <w:szCs w:val="24"/>
        </w:rPr>
        <w:t xml:space="preserve">it uses the </w:t>
      </w:r>
      <w:r w:rsidR="00323E40">
        <w:rPr>
          <w:rStyle w:val="markedcontent"/>
          <w:rFonts w:ascii="Times New Roman" w:hAnsi="Times New Roman" w:cs="Times New Roman"/>
          <w:sz w:val="24"/>
          <w:szCs w:val="24"/>
        </w:rPr>
        <w:t xml:space="preserve">Student-T distribution as it is justified at 3.4. </w:t>
      </w:r>
      <w:r w:rsidR="00323E40" w:rsidRPr="00323E40">
        <w:rPr>
          <w:rStyle w:val="markedcontent"/>
          <w:rFonts w:ascii="Times New Roman" w:hAnsi="Times New Roman" w:cs="Times New Roman"/>
          <w:sz w:val="24"/>
          <w:szCs w:val="24"/>
        </w:rPr>
        <w:t xml:space="preserve">The parameter </w:t>
      </w:r>
      <w:r w:rsidR="00323E40" w:rsidRPr="00323E40">
        <w:rPr>
          <w:rStyle w:val="markedcontent"/>
          <w:rFonts w:ascii="Times New Roman" w:hAnsi="Times New Roman" w:cs="Times New Roman"/>
          <w:i/>
          <w:iCs/>
          <w:sz w:val="24"/>
          <w:szCs w:val="24"/>
        </w:rPr>
        <w:t>nu</w:t>
      </w:r>
      <w:r w:rsidR="00323E40" w:rsidRPr="00323E40">
        <w:rPr>
          <w:rStyle w:val="markedcontent"/>
          <w:rFonts w:ascii="Times New Roman" w:hAnsi="Times New Roman" w:cs="Times New Roman"/>
          <w:sz w:val="24"/>
          <w:szCs w:val="24"/>
        </w:rPr>
        <w:t xml:space="preserve"> is the </w:t>
      </w:r>
      <w:r w:rsidR="00323E40" w:rsidRPr="00323E40">
        <w:rPr>
          <w:rStyle w:val="markedcontent"/>
          <w:rFonts w:ascii="Times New Roman" w:hAnsi="Times New Roman" w:cs="Times New Roman"/>
          <w:i/>
          <w:iCs/>
          <w:sz w:val="24"/>
          <w:szCs w:val="24"/>
        </w:rPr>
        <w:t>degree of freedom</w:t>
      </w:r>
      <w:r w:rsidR="00323E40" w:rsidRPr="00323E40">
        <w:rPr>
          <w:rStyle w:val="markedcontent"/>
          <w:rFonts w:ascii="Times New Roman" w:hAnsi="Times New Roman" w:cs="Times New Roman"/>
          <w:sz w:val="24"/>
          <w:szCs w:val="24"/>
        </w:rPr>
        <w:t xml:space="preserve"> part of the subsequent Student</w:t>
      </w:r>
      <w:r w:rsidR="00323E40">
        <w:rPr>
          <w:rStyle w:val="markedcontent"/>
          <w:rFonts w:ascii="Times New Roman" w:hAnsi="Times New Roman" w:cs="Times New Roman"/>
          <w:sz w:val="24"/>
          <w:szCs w:val="24"/>
        </w:rPr>
        <w:t>-</w:t>
      </w:r>
      <w:r w:rsidR="00323E40" w:rsidRPr="00323E40">
        <w:rPr>
          <w:rStyle w:val="markedcontent"/>
          <w:rFonts w:ascii="Times New Roman" w:hAnsi="Times New Roman" w:cs="Times New Roman"/>
          <w:sz w:val="24"/>
          <w:szCs w:val="24"/>
        </w:rPr>
        <w:t>T distribution</w:t>
      </w:r>
      <w:r w:rsidR="00323E40">
        <w:rPr>
          <w:rStyle w:val="markedcontent"/>
          <w:rFonts w:ascii="Times New Roman" w:hAnsi="Times New Roman" w:cs="Times New Roman"/>
          <w:sz w:val="24"/>
          <w:szCs w:val="24"/>
        </w:rPr>
        <w:t>, which usually ranges from 0 to 30</w:t>
      </w:r>
      <w:r w:rsidR="00EF7350">
        <w:rPr>
          <w:rStyle w:val="markedcontent"/>
          <w:rFonts w:ascii="Times New Roman" w:hAnsi="Times New Roman" w:cs="Times New Roman"/>
          <w:sz w:val="24"/>
          <w:szCs w:val="24"/>
        </w:rPr>
        <w:t xml:space="preserve"> and becomes shared between the left hand side and the right hand side of the model</w:t>
      </w:r>
      <w:r w:rsidR="00323E40" w:rsidRPr="00323E40">
        <w:rPr>
          <w:rStyle w:val="markedcontent"/>
          <w:rFonts w:ascii="Times New Roman" w:hAnsi="Times New Roman" w:cs="Times New Roman"/>
          <w:sz w:val="24"/>
          <w:szCs w:val="24"/>
        </w:rPr>
        <w:t>.</w:t>
      </w:r>
    </w:p>
    <w:p w:rsidR="008A6B28" w:rsidRDefault="00EB1508" w:rsidP="001C16FF">
      <w:pPr>
        <w:keepNext/>
        <w:spacing w:line="360" w:lineRule="auto"/>
        <w:jc w:val="center"/>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5760720" cy="2964180"/>
            <wp:effectExtent l="0" t="0" r="0" b="762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60720" cy="2964180"/>
                    </a:xfrm>
                    <a:prstGeom prst="rect">
                      <a:avLst/>
                    </a:prstGeom>
                    <a:noFill/>
                    <a:ln>
                      <a:noFill/>
                    </a:ln>
                  </pic:spPr>
                </pic:pic>
              </a:graphicData>
            </a:graphic>
          </wp:inline>
        </w:drawing>
      </w:r>
    </w:p>
    <w:p w:rsidR="008A6B28" w:rsidRDefault="00BD1F6D" w:rsidP="00EF7350">
      <w:pPr>
        <w:pStyle w:val="Caption"/>
        <w:spacing w:line="360" w:lineRule="auto"/>
        <w:jc w:val="both"/>
        <w:rPr>
          <w:rFonts w:ascii="Times New Roman" w:hAnsi="Times New Roman" w:cs="Times New Roman"/>
          <w:i w:val="0"/>
          <w:iCs w:val="0"/>
          <w:color w:val="auto"/>
          <w:sz w:val="20"/>
          <w:szCs w:val="20"/>
        </w:rPr>
      </w:pPr>
      <w:r>
        <w:rPr>
          <w:rFonts w:ascii="Times New Roman" w:hAnsi="Times New Roman" w:cs="Times New Roman"/>
          <w:i w:val="0"/>
          <w:iCs w:val="0"/>
          <w:color w:val="auto"/>
          <w:sz w:val="20"/>
          <w:szCs w:val="20"/>
        </w:rPr>
        <w:t>Figure 2</w:t>
      </w:r>
      <w:r w:rsidR="00D96261">
        <w:rPr>
          <w:rFonts w:ascii="Times New Roman" w:hAnsi="Times New Roman" w:cs="Times New Roman"/>
          <w:i w:val="0"/>
          <w:iCs w:val="0"/>
          <w:color w:val="auto"/>
          <w:sz w:val="20"/>
          <w:szCs w:val="20"/>
        </w:rPr>
        <w:t xml:space="preserve"> </w:t>
      </w:r>
      <w:r w:rsidR="00D96261" w:rsidRPr="00686E2C">
        <w:rPr>
          <w:rFonts w:ascii="Times New Roman" w:hAnsi="Times New Roman" w:cs="Times New Roman"/>
          <w:i w:val="0"/>
          <w:iCs w:val="0"/>
          <w:sz w:val="20"/>
          <w:szCs w:val="20"/>
        </w:rPr>
        <w:t>(high resolution image)</w:t>
      </w:r>
      <w:r w:rsidR="00DF2F8E">
        <w:rPr>
          <w:rFonts w:ascii="Times New Roman" w:hAnsi="Times New Roman" w:cs="Times New Roman"/>
          <w:i w:val="0"/>
          <w:iCs w:val="0"/>
          <w:color w:val="auto"/>
          <w:sz w:val="20"/>
          <w:szCs w:val="20"/>
        </w:rPr>
        <w:t xml:space="preserve">: The hierarchical Bayesian model </w:t>
      </w:r>
      <w:r w:rsidR="00EF7350">
        <w:rPr>
          <w:rFonts w:ascii="Times New Roman" w:hAnsi="Times New Roman" w:cs="Times New Roman"/>
          <w:i w:val="0"/>
          <w:iCs w:val="0"/>
          <w:color w:val="auto"/>
          <w:sz w:val="20"/>
          <w:szCs w:val="20"/>
        </w:rPr>
        <w:t xml:space="preserve">for analyzing </w:t>
      </w:r>
      <w:r w:rsidR="00DF2F8E">
        <w:rPr>
          <w:rFonts w:ascii="Times New Roman" w:hAnsi="Times New Roman" w:cs="Times New Roman"/>
          <w:i w:val="0"/>
          <w:iCs w:val="0"/>
          <w:color w:val="auto"/>
          <w:sz w:val="20"/>
          <w:szCs w:val="20"/>
        </w:rPr>
        <w:t xml:space="preserve">a </w:t>
      </w:r>
      <w:r w:rsidR="00EF7350">
        <w:rPr>
          <w:rFonts w:ascii="Times New Roman" w:hAnsi="Times New Roman" w:cs="Times New Roman"/>
          <w:i w:val="0"/>
          <w:iCs w:val="0"/>
          <w:color w:val="auto"/>
          <w:sz w:val="20"/>
          <w:szCs w:val="20"/>
        </w:rPr>
        <w:t xml:space="preserve">distinct </w:t>
      </w:r>
      <w:r w:rsidR="00DF2F8E">
        <w:rPr>
          <w:rFonts w:ascii="Times New Roman" w:hAnsi="Times New Roman" w:cs="Times New Roman"/>
          <w:i w:val="0"/>
          <w:iCs w:val="0"/>
          <w:color w:val="auto"/>
          <w:sz w:val="20"/>
          <w:szCs w:val="20"/>
        </w:rPr>
        <w:t>government NPI</w:t>
      </w:r>
      <w:r w:rsidR="00EF7350">
        <w:rPr>
          <w:rFonts w:ascii="Times New Roman" w:hAnsi="Times New Roman" w:cs="Times New Roman"/>
          <w:i w:val="0"/>
          <w:iCs w:val="0"/>
          <w:color w:val="auto"/>
          <w:sz w:val="20"/>
          <w:szCs w:val="20"/>
        </w:rPr>
        <w:t xml:space="preserve"> in a distinct country</w:t>
      </w:r>
      <w:r w:rsidR="00DF2F8E">
        <w:rPr>
          <w:rFonts w:ascii="Times New Roman" w:hAnsi="Times New Roman" w:cs="Times New Roman"/>
          <w:i w:val="0"/>
          <w:iCs w:val="0"/>
          <w:color w:val="auto"/>
          <w:sz w:val="20"/>
          <w:szCs w:val="20"/>
        </w:rPr>
        <w:t>.</w:t>
      </w:r>
    </w:p>
    <w:p w:rsidR="00F028E9" w:rsidRDefault="000D0647" w:rsidP="00827678">
      <w:pPr>
        <w:spacing w:line="360" w:lineRule="auto"/>
        <w:jc w:val="both"/>
        <w:rPr>
          <w:rFonts w:ascii="Times New Roman" w:hAnsi="Times New Roman" w:cs="Times New Roman"/>
          <w:sz w:val="24"/>
          <w:szCs w:val="24"/>
        </w:rPr>
      </w:pPr>
      <w:r>
        <w:rPr>
          <w:rFonts w:ascii="Times New Roman" w:hAnsi="Times New Roman" w:cs="Times New Roman"/>
          <w:sz w:val="24"/>
          <w:szCs w:val="24"/>
        </w:rPr>
        <w:t>The presence of the</w:t>
      </w:r>
      <w:r w:rsidR="00323E40">
        <w:rPr>
          <w:rFonts w:ascii="Times New Roman" w:hAnsi="Times New Roman" w:cs="Times New Roman"/>
          <w:sz w:val="24"/>
          <w:szCs w:val="24"/>
        </w:rPr>
        <w:t xml:space="preserve"> </w:t>
      </w:r>
      <w:proofErr w:type="spellStart"/>
      <w:r w:rsidR="00590F01" w:rsidRPr="00827678">
        <w:rPr>
          <w:rFonts w:ascii="Times New Roman" w:hAnsi="Times New Roman" w:cs="Times New Roman"/>
          <w:i/>
          <w:iCs/>
          <w:sz w:val="24"/>
          <w:szCs w:val="24"/>
        </w:rPr>
        <w:t>sd_Country</w:t>
      </w:r>
      <w:proofErr w:type="spellEnd"/>
      <w:r w:rsidR="00590F01">
        <w:rPr>
          <w:rFonts w:ascii="Times New Roman" w:hAnsi="Times New Roman" w:cs="Times New Roman"/>
          <w:sz w:val="24"/>
          <w:szCs w:val="24"/>
        </w:rPr>
        <w:t xml:space="preserve"> </w:t>
      </w:r>
      <w:r w:rsidR="005D71AC">
        <w:rPr>
          <w:rFonts w:ascii="Times New Roman" w:hAnsi="Times New Roman" w:cs="Times New Roman"/>
          <w:sz w:val="24"/>
          <w:szCs w:val="24"/>
        </w:rPr>
        <w:t>parameters</w:t>
      </w:r>
      <w:r w:rsidR="00590F01">
        <w:rPr>
          <w:rFonts w:ascii="Times New Roman" w:hAnsi="Times New Roman" w:cs="Times New Roman"/>
          <w:sz w:val="24"/>
          <w:szCs w:val="24"/>
        </w:rPr>
        <w:t xml:space="preserve"> </w:t>
      </w:r>
      <w:r w:rsidR="00323E40">
        <w:rPr>
          <w:rStyle w:val="markedcontent"/>
          <w:rFonts w:ascii="Times New Roman" w:hAnsi="Times New Roman" w:cs="Times New Roman"/>
          <w:sz w:val="24"/>
          <w:szCs w:val="24"/>
        </w:rPr>
        <w:t>specified</w:t>
      </w:r>
      <w:r>
        <w:rPr>
          <w:rStyle w:val="markedcontent"/>
          <w:rFonts w:ascii="Times New Roman" w:hAnsi="Times New Roman" w:cs="Times New Roman"/>
          <w:sz w:val="24"/>
          <w:szCs w:val="24"/>
        </w:rPr>
        <w:t xml:space="preserve"> in the both right hand side and left hand side of the model figure</w:t>
      </w:r>
      <w:r w:rsidR="00323E40">
        <w:rPr>
          <w:rStyle w:val="markedcontent"/>
          <w:rFonts w:ascii="Times New Roman" w:hAnsi="Times New Roman" w:cs="Times New Roman"/>
          <w:sz w:val="24"/>
          <w:szCs w:val="24"/>
        </w:rPr>
        <w:t xml:space="preserve"> </w:t>
      </w:r>
      <w:r w:rsidR="00323E40">
        <w:rPr>
          <w:rFonts w:ascii="Times New Roman" w:hAnsi="Times New Roman" w:cs="Times New Roman"/>
          <w:sz w:val="24"/>
          <w:szCs w:val="24"/>
        </w:rPr>
        <w:t>provide</w:t>
      </w:r>
      <w:r>
        <w:rPr>
          <w:rFonts w:ascii="Times New Roman" w:hAnsi="Times New Roman" w:cs="Times New Roman"/>
          <w:sz w:val="24"/>
          <w:szCs w:val="24"/>
        </w:rPr>
        <w:t>s a weekly</w:t>
      </w:r>
      <w:r w:rsidR="00323E40">
        <w:rPr>
          <w:rFonts w:ascii="Times New Roman" w:hAnsi="Times New Roman" w:cs="Times New Roman"/>
          <w:sz w:val="24"/>
          <w:szCs w:val="24"/>
        </w:rPr>
        <w:t xml:space="preserve"> informative prior </w:t>
      </w:r>
      <w:r w:rsidR="00590F01">
        <w:rPr>
          <w:rFonts w:ascii="Times New Roman" w:hAnsi="Times New Roman" w:cs="Times New Roman"/>
          <w:sz w:val="24"/>
          <w:szCs w:val="24"/>
        </w:rPr>
        <w:t>which permits the lower level of the model</w:t>
      </w:r>
      <w:r w:rsidR="00323E40">
        <w:rPr>
          <w:rFonts w:ascii="Times New Roman" w:hAnsi="Times New Roman" w:cs="Times New Roman"/>
          <w:sz w:val="24"/>
          <w:szCs w:val="24"/>
        </w:rPr>
        <w:t xml:space="preserve"> </w:t>
      </w:r>
      <w:r w:rsidR="00590F01">
        <w:rPr>
          <w:rFonts w:ascii="Times New Roman" w:hAnsi="Times New Roman" w:cs="Times New Roman"/>
          <w:sz w:val="24"/>
          <w:szCs w:val="24"/>
        </w:rPr>
        <w:t xml:space="preserve">to sample its parameters (either corresponded to </w:t>
      </w:r>
      <w:r w:rsidR="00827678">
        <w:rPr>
          <w:rFonts w:ascii="Times New Roman" w:hAnsi="Times New Roman" w:cs="Times New Roman"/>
          <w:sz w:val="24"/>
          <w:szCs w:val="24"/>
        </w:rPr>
        <w:t>the activation of a factor</w:t>
      </w:r>
      <w:r w:rsidR="00590F01">
        <w:rPr>
          <w:rFonts w:ascii="Times New Roman" w:hAnsi="Times New Roman" w:cs="Times New Roman"/>
          <w:sz w:val="24"/>
          <w:szCs w:val="24"/>
        </w:rPr>
        <w:t xml:space="preserve"> on the left hand side or corresponded to the non-</w:t>
      </w:r>
      <w:r w:rsidR="00827678">
        <w:rPr>
          <w:rFonts w:ascii="Times New Roman" w:hAnsi="Times New Roman" w:cs="Times New Roman"/>
          <w:sz w:val="24"/>
          <w:szCs w:val="24"/>
        </w:rPr>
        <w:t>activation</w:t>
      </w:r>
      <w:r w:rsidR="00590F01">
        <w:rPr>
          <w:rFonts w:ascii="Times New Roman" w:hAnsi="Times New Roman" w:cs="Times New Roman"/>
          <w:sz w:val="24"/>
          <w:szCs w:val="24"/>
        </w:rPr>
        <w:t xml:space="preserve"> of the selected </w:t>
      </w:r>
      <w:r w:rsidR="00827678">
        <w:rPr>
          <w:rFonts w:ascii="Times New Roman" w:hAnsi="Times New Roman" w:cs="Times New Roman"/>
          <w:sz w:val="24"/>
          <w:szCs w:val="24"/>
        </w:rPr>
        <w:t>factor</w:t>
      </w:r>
      <w:r w:rsidR="00590F01">
        <w:rPr>
          <w:rFonts w:ascii="Times New Roman" w:hAnsi="Times New Roman" w:cs="Times New Roman"/>
          <w:sz w:val="24"/>
          <w:szCs w:val="24"/>
        </w:rPr>
        <w:t xml:space="preserve"> in the right hand side)</w:t>
      </w:r>
      <w:r w:rsidR="00323E40">
        <w:rPr>
          <w:rFonts w:ascii="Times New Roman" w:hAnsi="Times New Roman" w:cs="Times New Roman"/>
          <w:sz w:val="24"/>
          <w:szCs w:val="24"/>
        </w:rPr>
        <w:t xml:space="preserve"> without bias (t</w:t>
      </w:r>
      <w:r w:rsidR="00590F01">
        <w:rPr>
          <w:rFonts w:ascii="Times New Roman" w:hAnsi="Times New Roman" w:cs="Times New Roman"/>
          <w:sz w:val="24"/>
          <w:szCs w:val="24"/>
        </w:rPr>
        <w:t>owards the overall higher parameters of the model</w:t>
      </w:r>
      <w:r w:rsidR="00323E40">
        <w:rPr>
          <w:rFonts w:ascii="Times New Roman" w:hAnsi="Times New Roman" w:cs="Times New Roman"/>
          <w:sz w:val="24"/>
          <w:szCs w:val="24"/>
        </w:rPr>
        <w:t xml:space="preserve"> </w:t>
      </w:r>
      <w:r w:rsidR="00590F01">
        <w:rPr>
          <w:rFonts w:ascii="Times New Roman" w:hAnsi="Times New Roman" w:cs="Times New Roman"/>
          <w:sz w:val="24"/>
          <w:szCs w:val="24"/>
        </w:rPr>
        <w:t>i.e. the hyper parameter</w:t>
      </w:r>
      <w:r w:rsidR="00323E40">
        <w:rPr>
          <w:rFonts w:ascii="Times New Roman" w:hAnsi="Times New Roman" w:cs="Times New Roman"/>
          <w:sz w:val="24"/>
          <w:szCs w:val="24"/>
        </w:rPr>
        <w:t>)</w:t>
      </w:r>
      <w:r w:rsidR="005D71AC">
        <w:rPr>
          <w:rFonts w:ascii="Times New Roman" w:hAnsi="Times New Roman" w:cs="Times New Roman"/>
          <w:sz w:val="24"/>
          <w:szCs w:val="24"/>
        </w:rPr>
        <w:t xml:space="preserve"> with some standard deviation</w:t>
      </w:r>
      <w:r w:rsidR="00590F01">
        <w:rPr>
          <w:rFonts w:ascii="Times New Roman" w:hAnsi="Times New Roman" w:cs="Times New Roman"/>
          <w:sz w:val="24"/>
          <w:szCs w:val="24"/>
        </w:rPr>
        <w:t xml:space="preserve">. </w:t>
      </w:r>
      <w:r w:rsidR="005D71AC">
        <w:rPr>
          <w:rFonts w:ascii="Times New Roman" w:hAnsi="Times New Roman" w:cs="Times New Roman"/>
          <w:sz w:val="24"/>
          <w:szCs w:val="24"/>
        </w:rPr>
        <w:t>Note that</w:t>
      </w:r>
      <w:r w:rsidR="00590F01">
        <w:rPr>
          <w:rFonts w:ascii="Times New Roman" w:hAnsi="Times New Roman" w:cs="Times New Roman"/>
          <w:sz w:val="24"/>
          <w:szCs w:val="24"/>
        </w:rPr>
        <w:t xml:space="preserve">, while </w:t>
      </w:r>
      <w:r w:rsidR="005D71AC">
        <w:rPr>
          <w:rFonts w:ascii="Times New Roman" w:hAnsi="Times New Roman" w:cs="Times New Roman"/>
          <w:sz w:val="24"/>
          <w:szCs w:val="24"/>
        </w:rPr>
        <w:t xml:space="preserve">basically </w:t>
      </w:r>
      <w:r w:rsidR="00590F01" w:rsidRPr="00590F01">
        <w:rPr>
          <w:rFonts w:ascii="Times New Roman" w:hAnsi="Times New Roman" w:cs="Times New Roman"/>
          <w:sz w:val="24"/>
          <w:szCs w:val="24"/>
        </w:rPr>
        <w:t xml:space="preserve">Normal distribution provides a reasonable prior for the </w:t>
      </w:r>
      <w:r w:rsidR="00590F01" w:rsidRPr="00590F01">
        <w:rPr>
          <w:rFonts w:ascii="Times New Roman" w:hAnsi="Times New Roman" w:cs="Times New Roman"/>
          <w:i/>
          <w:iCs/>
          <w:sz w:val="24"/>
          <w:szCs w:val="24"/>
        </w:rPr>
        <w:t>mean</w:t>
      </w:r>
      <w:r w:rsidR="00590F01">
        <w:rPr>
          <w:rFonts w:ascii="Times New Roman" w:hAnsi="Times New Roman" w:cs="Times New Roman"/>
          <w:sz w:val="24"/>
          <w:szCs w:val="24"/>
        </w:rPr>
        <w:t xml:space="preserve"> parameter, the </w:t>
      </w:r>
      <w:r w:rsidR="00590F01" w:rsidRPr="00590F01">
        <w:rPr>
          <w:rFonts w:ascii="Times New Roman" w:hAnsi="Times New Roman" w:cs="Times New Roman"/>
          <w:i/>
          <w:iCs/>
          <w:sz w:val="24"/>
          <w:szCs w:val="24"/>
        </w:rPr>
        <w:t>Exponential</w:t>
      </w:r>
      <w:r w:rsidR="00590F01" w:rsidRPr="00590F01">
        <w:rPr>
          <w:rFonts w:ascii="Times New Roman" w:hAnsi="Times New Roman" w:cs="Times New Roman"/>
          <w:sz w:val="24"/>
          <w:szCs w:val="24"/>
        </w:rPr>
        <w:t xml:space="preserve"> distribution</w:t>
      </w:r>
      <w:r w:rsidR="005D71AC">
        <w:rPr>
          <w:rFonts w:ascii="Times New Roman" w:hAnsi="Times New Roman" w:cs="Times New Roman"/>
          <w:sz w:val="24"/>
          <w:szCs w:val="24"/>
        </w:rPr>
        <w:t xml:space="preserve">s provides </w:t>
      </w:r>
      <w:r w:rsidR="00590F01" w:rsidRPr="00590F01">
        <w:rPr>
          <w:rFonts w:ascii="Times New Roman" w:hAnsi="Times New Roman" w:cs="Times New Roman"/>
          <w:sz w:val="24"/>
          <w:szCs w:val="24"/>
        </w:rPr>
        <w:t>reasonable prior</w:t>
      </w:r>
      <w:r w:rsidR="005D71AC">
        <w:rPr>
          <w:rFonts w:ascii="Times New Roman" w:hAnsi="Times New Roman" w:cs="Times New Roman"/>
          <w:sz w:val="24"/>
          <w:szCs w:val="24"/>
        </w:rPr>
        <w:t>s</w:t>
      </w:r>
      <w:r w:rsidR="00590F01" w:rsidRPr="00590F01">
        <w:rPr>
          <w:rFonts w:ascii="Times New Roman" w:hAnsi="Times New Roman" w:cs="Times New Roman"/>
          <w:sz w:val="24"/>
          <w:szCs w:val="24"/>
        </w:rPr>
        <w:t xml:space="preserve"> for the </w:t>
      </w:r>
      <w:r w:rsidR="00590F01" w:rsidRPr="005D71AC">
        <w:rPr>
          <w:rFonts w:ascii="Times New Roman" w:hAnsi="Times New Roman" w:cs="Times New Roman"/>
          <w:i/>
          <w:iCs/>
          <w:sz w:val="24"/>
          <w:szCs w:val="24"/>
        </w:rPr>
        <w:t>standard deviation</w:t>
      </w:r>
      <w:r w:rsidR="00590F01" w:rsidRPr="00590F01">
        <w:rPr>
          <w:rFonts w:ascii="Times New Roman" w:hAnsi="Times New Roman" w:cs="Times New Roman"/>
          <w:sz w:val="24"/>
          <w:szCs w:val="24"/>
        </w:rPr>
        <w:t xml:space="preserve"> </w:t>
      </w:r>
      <w:r w:rsidR="00590F01">
        <w:rPr>
          <w:rFonts w:ascii="Times New Roman" w:hAnsi="Times New Roman" w:cs="Times New Roman"/>
          <w:sz w:val="24"/>
          <w:szCs w:val="24"/>
        </w:rPr>
        <w:t>i.e.</w:t>
      </w:r>
      <w:r w:rsidR="00F028E9">
        <w:rPr>
          <w:rFonts w:ascii="Times New Roman" w:hAnsi="Times New Roman" w:cs="Times New Roman"/>
          <w:sz w:val="24"/>
          <w:szCs w:val="24"/>
        </w:rPr>
        <w:t xml:space="preserve"> for the distribution of the</w:t>
      </w:r>
      <w:r w:rsidR="00827678">
        <w:rPr>
          <w:rFonts w:ascii="Times New Roman" w:hAnsi="Times New Roman" w:cs="Times New Roman"/>
          <w:sz w:val="24"/>
          <w:szCs w:val="24"/>
        </w:rPr>
        <w:t xml:space="preserve"> abovementioned</w:t>
      </w:r>
      <w:r w:rsidR="00590F01">
        <w:rPr>
          <w:rFonts w:ascii="Times New Roman" w:hAnsi="Times New Roman" w:cs="Times New Roman"/>
          <w:sz w:val="24"/>
          <w:szCs w:val="24"/>
        </w:rPr>
        <w:t xml:space="preserve"> </w:t>
      </w:r>
      <w:proofErr w:type="spellStart"/>
      <w:r w:rsidR="00590F01">
        <w:rPr>
          <w:rFonts w:ascii="Times New Roman" w:hAnsi="Times New Roman" w:cs="Times New Roman"/>
          <w:sz w:val="24"/>
          <w:szCs w:val="24"/>
        </w:rPr>
        <w:t>sd_Country</w:t>
      </w:r>
      <w:proofErr w:type="spellEnd"/>
      <w:r w:rsidR="00590F01">
        <w:rPr>
          <w:rFonts w:ascii="Times New Roman" w:hAnsi="Times New Roman" w:cs="Times New Roman"/>
          <w:sz w:val="24"/>
          <w:szCs w:val="24"/>
        </w:rPr>
        <w:t xml:space="preserve"> </w:t>
      </w:r>
      <w:r w:rsidR="00590F01" w:rsidRPr="00590F01">
        <w:rPr>
          <w:rFonts w:ascii="Times New Roman" w:hAnsi="Times New Roman" w:cs="Times New Roman"/>
          <w:sz w:val="24"/>
          <w:szCs w:val="24"/>
        </w:rPr>
        <w:t xml:space="preserve">terms (Johnson et. al, 2022). </w:t>
      </w:r>
    </w:p>
    <w:p w:rsidR="008A6B28" w:rsidRDefault="00DF2F8E">
      <w:pPr>
        <w:pStyle w:val="Heading3"/>
        <w:rPr>
          <w:rFonts w:ascii="Times New Roman" w:hAnsi="Times New Roman" w:cs="Times New Roman"/>
          <w:sz w:val="24"/>
          <w:szCs w:val="24"/>
        </w:rPr>
      </w:pPr>
      <w:r>
        <w:rPr>
          <w:rFonts w:ascii="Times New Roman" w:hAnsi="Times New Roman" w:cs="Times New Roman"/>
          <w:sz w:val="24"/>
          <w:szCs w:val="24"/>
        </w:rPr>
        <w:lastRenderedPageBreak/>
        <w:t>3.5 Technical setting</w:t>
      </w:r>
    </w:p>
    <w:p w:rsidR="008A6B28" w:rsidRDefault="00DF2F8E" w:rsidP="00377ABB">
      <w:pPr>
        <w:spacing w:line="360" w:lineRule="auto"/>
        <w:jc w:val="both"/>
        <w:rPr>
          <w:rStyle w:val="markedcontent"/>
          <w:rFonts w:ascii="Times New Roman" w:hAnsi="Times New Roman" w:cs="Times New Roman"/>
          <w:sz w:val="24"/>
          <w:szCs w:val="24"/>
        </w:rPr>
      </w:pPr>
      <w:r>
        <w:rPr>
          <w:rFonts w:ascii="Times New Roman" w:hAnsi="Times New Roman" w:cs="Times New Roman"/>
          <w:sz w:val="24"/>
          <w:szCs w:val="24"/>
        </w:rPr>
        <w:t xml:space="preserve">Obtaining posterior distributions </w:t>
      </w:r>
      <w:r w:rsidR="00377ABB">
        <w:rPr>
          <w:rFonts w:ascii="Times New Roman" w:hAnsi="Times New Roman" w:cs="Times New Roman"/>
          <w:sz w:val="24"/>
          <w:szCs w:val="24"/>
        </w:rPr>
        <w:t>through describing steps at previous sections</w:t>
      </w:r>
      <w:r>
        <w:rPr>
          <w:rFonts w:ascii="Times New Roman" w:hAnsi="Times New Roman" w:cs="Times New Roman"/>
          <w:sz w:val="24"/>
          <w:szCs w:val="24"/>
        </w:rPr>
        <w:t>, are often analytically intractable. An accurate approximation of the posterior</w:t>
      </w:r>
      <w:r>
        <w:rPr>
          <w:rStyle w:val="markedcontent"/>
          <w:rFonts w:ascii="Times New Roman" w:hAnsi="Times New Roman" w:cs="Times New Roman"/>
          <w:sz w:val="24"/>
          <w:szCs w:val="24"/>
        </w:rPr>
        <w:t xml:space="preserve"> distributions is</w:t>
      </w:r>
      <w:r>
        <w:rPr>
          <w:rFonts w:ascii="Times New Roman" w:hAnsi="Times New Roman" w:cs="Times New Roman"/>
          <w:sz w:val="24"/>
          <w:szCs w:val="24"/>
        </w:rPr>
        <w:t xml:space="preserve"> </w:t>
      </w:r>
      <w:r>
        <w:rPr>
          <w:rStyle w:val="markedcontent"/>
          <w:rFonts w:ascii="Times New Roman" w:hAnsi="Times New Roman" w:cs="Times New Roman"/>
          <w:sz w:val="24"/>
          <w:szCs w:val="24"/>
        </w:rPr>
        <w:t xml:space="preserve">accomplished via using NUTS sampler implemented in PyMC3 by setting a sample size </w:t>
      </w:r>
      <w:r>
        <w:rPr>
          <w:rStyle w:val="markedcontent"/>
          <w:rFonts w:ascii="Times New Roman" w:hAnsi="Times New Roman" w:cs="Times New Roman"/>
          <w:i/>
          <w:iCs/>
          <w:sz w:val="24"/>
          <w:szCs w:val="24"/>
        </w:rPr>
        <w:t>k</w:t>
      </w:r>
      <w:r>
        <w:rPr>
          <w:rStyle w:val="markedcontent"/>
          <w:rFonts w:ascii="Times New Roman" w:hAnsi="Times New Roman" w:cs="Times New Roman"/>
          <w:sz w:val="24"/>
          <w:szCs w:val="24"/>
        </w:rPr>
        <w:t xml:space="preserve"> in order to draw </w:t>
      </w:r>
      <w:r>
        <w:rPr>
          <w:rStyle w:val="markedcontent"/>
          <w:rFonts w:ascii="Times New Roman" w:hAnsi="Times New Roman" w:cs="Times New Roman"/>
          <w:i/>
          <w:iCs/>
          <w:sz w:val="24"/>
          <w:szCs w:val="24"/>
        </w:rPr>
        <w:t>k</w:t>
      </w:r>
      <w:r>
        <w:rPr>
          <w:rStyle w:val="markedcontent"/>
          <w:rFonts w:ascii="Times New Roman" w:hAnsi="Times New Roman" w:cs="Times New Roman"/>
          <w:sz w:val="24"/>
          <w:szCs w:val="24"/>
        </w:rPr>
        <w:t xml:space="preserve"> samples from the posterior</w:t>
      </w:r>
      <w:r>
        <w:rPr>
          <w:rStyle w:val="FootnoteReference"/>
          <w:rFonts w:ascii="Times New Roman" w:hAnsi="Times New Roman" w:cs="Times New Roman"/>
          <w:sz w:val="24"/>
          <w:szCs w:val="24"/>
        </w:rPr>
        <w:footnoteReference w:id="8"/>
      </w:r>
      <w:r>
        <w:rPr>
          <w:rStyle w:val="markedcontent"/>
          <w:rFonts w:ascii="Times New Roman" w:hAnsi="Times New Roman" w:cs="Times New Roman"/>
          <w:sz w:val="24"/>
          <w:szCs w:val="24"/>
        </w:rPr>
        <w:t xml:space="preserve">. PyMC3 is an open source framework of probability distribution sampling with a syntax close to the natural syntax statisticians </w:t>
      </w:r>
      <w:r>
        <w:rPr>
          <w:rFonts w:ascii="Times New Roman" w:hAnsi="Times New Roman" w:cs="Times New Roman"/>
          <w:sz w:val="24"/>
          <w:szCs w:val="24"/>
        </w:rPr>
        <w:t>(</w:t>
      </w:r>
      <w:proofErr w:type="spellStart"/>
      <w:r w:rsidR="00B94261">
        <w:fldChar w:fldCharType="begin"/>
      </w:r>
      <w:r w:rsidR="00B94261">
        <w:instrText xml:space="preserve"> HYPERLINK "https://peerj.com/articles/cs-55/" </w:instrText>
      </w:r>
      <w:r w:rsidR="00B94261">
        <w:fldChar w:fldCharType="separate"/>
      </w:r>
      <w:r>
        <w:rPr>
          <w:rStyle w:val="Hyperlink"/>
          <w:rFonts w:ascii="Times New Roman" w:hAnsi="Times New Roman" w:cs="Times New Roman"/>
          <w:color w:val="auto"/>
          <w:sz w:val="24"/>
          <w:szCs w:val="24"/>
        </w:rPr>
        <w:t>Salvatier</w:t>
      </w:r>
      <w:proofErr w:type="spellEnd"/>
      <w:r>
        <w:rPr>
          <w:rStyle w:val="Hyperlink"/>
          <w:rFonts w:ascii="Times New Roman" w:hAnsi="Times New Roman" w:cs="Times New Roman"/>
          <w:color w:val="auto"/>
          <w:sz w:val="24"/>
          <w:szCs w:val="24"/>
        </w:rPr>
        <w:t xml:space="preserve"> et al., 2016</w:t>
      </w:r>
      <w:r w:rsidR="00B94261">
        <w:rPr>
          <w:rStyle w:val="Hyperlink"/>
          <w:rFonts w:ascii="Times New Roman" w:hAnsi="Times New Roman" w:cs="Times New Roman"/>
          <w:color w:val="auto"/>
          <w:sz w:val="24"/>
          <w:szCs w:val="24"/>
        </w:rPr>
        <w:fldChar w:fldCharType="end"/>
      </w:r>
      <w:r>
        <w:rPr>
          <w:rFonts w:ascii="Times New Roman" w:hAnsi="Times New Roman" w:cs="Times New Roman"/>
          <w:sz w:val="24"/>
          <w:szCs w:val="24"/>
        </w:rPr>
        <w:t>)</w:t>
      </w:r>
      <w:r>
        <w:rPr>
          <w:rStyle w:val="markedcontent"/>
          <w:rFonts w:ascii="Times New Roman" w:hAnsi="Times New Roman" w:cs="Times New Roman"/>
          <w:sz w:val="24"/>
          <w:szCs w:val="24"/>
        </w:rPr>
        <w:t>. It incorporates the Markov Chain Monte Carlo (MCMC) algorithm designed for probability distribution sampling as the No-U-Turn Sampler (NUTS). The NUTS method is a self-tuning variant of</w:t>
      </w:r>
      <w:r>
        <w:rPr>
          <w:rFonts w:ascii="Times New Roman" w:hAnsi="Times New Roman" w:cs="Times New Roman"/>
          <w:sz w:val="24"/>
          <w:szCs w:val="24"/>
        </w:rPr>
        <w:t xml:space="preserve"> </w:t>
      </w:r>
      <w:r>
        <w:rPr>
          <w:rStyle w:val="markedcontent"/>
          <w:rFonts w:ascii="Times New Roman" w:hAnsi="Times New Roman" w:cs="Times New Roman"/>
          <w:sz w:val="24"/>
          <w:szCs w:val="24"/>
        </w:rPr>
        <w:t xml:space="preserve">Hamiltonian Monte Carlo (HMC) </w:t>
      </w:r>
      <w:r>
        <w:rPr>
          <w:rFonts w:ascii="Times New Roman" w:hAnsi="Times New Roman" w:cs="Times New Roman"/>
          <w:sz w:val="24"/>
          <w:szCs w:val="24"/>
        </w:rPr>
        <w:t>(</w:t>
      </w:r>
      <w:hyperlink r:id="rId22" w:tooltip="https://ui.adsabs.harvard.edu/abs/1987PhLB..195..216D/abstract" w:history="1">
        <w:r>
          <w:rPr>
            <w:rStyle w:val="Hyperlink"/>
            <w:rFonts w:ascii="Times New Roman" w:hAnsi="Times New Roman" w:cs="Times New Roman"/>
            <w:color w:val="auto"/>
            <w:sz w:val="24"/>
            <w:szCs w:val="24"/>
          </w:rPr>
          <w:t>Duane et al., 1987</w:t>
        </w:r>
      </w:hyperlink>
      <w:r>
        <w:rPr>
          <w:rFonts w:ascii="Times New Roman" w:hAnsi="Times New Roman" w:cs="Times New Roman"/>
          <w:sz w:val="24"/>
          <w:szCs w:val="24"/>
        </w:rPr>
        <w:t>).</w:t>
      </w:r>
      <w:r>
        <w:rPr>
          <w:rStyle w:val="markedcontent"/>
          <w:rFonts w:ascii="Times New Roman" w:hAnsi="Times New Roman" w:cs="Times New Roman"/>
          <w:sz w:val="24"/>
          <w:szCs w:val="24"/>
        </w:rPr>
        <w:t xml:space="preserve"> As the HMC and NUTS apply the gradient information from the</w:t>
      </w:r>
      <w:r>
        <w:rPr>
          <w:rFonts w:ascii="Times New Roman" w:hAnsi="Times New Roman" w:cs="Times New Roman"/>
          <w:sz w:val="24"/>
          <w:szCs w:val="24"/>
        </w:rPr>
        <w:t xml:space="preserve"> </w:t>
      </w:r>
      <w:r>
        <w:rPr>
          <w:rStyle w:val="markedcontent"/>
          <w:rFonts w:ascii="Times New Roman" w:hAnsi="Times New Roman" w:cs="Times New Roman"/>
          <w:sz w:val="24"/>
          <w:szCs w:val="24"/>
        </w:rPr>
        <w:t>likelihood, they can achieve a fast convergence rate, which avoids the random walk behavior by taking a series of steps informed by first-order</w:t>
      </w:r>
      <w:r>
        <w:rPr>
          <w:rFonts w:ascii="Times New Roman" w:hAnsi="Times New Roman" w:cs="Times New Roman"/>
          <w:sz w:val="24"/>
          <w:szCs w:val="24"/>
        </w:rPr>
        <w:t xml:space="preserve"> </w:t>
      </w:r>
      <w:r>
        <w:rPr>
          <w:rStyle w:val="markedcontent"/>
          <w:rFonts w:ascii="Times New Roman" w:hAnsi="Times New Roman" w:cs="Times New Roman"/>
          <w:sz w:val="24"/>
          <w:szCs w:val="24"/>
        </w:rPr>
        <w:t xml:space="preserve">gradient information </w:t>
      </w:r>
      <w:r>
        <w:rPr>
          <w:rFonts w:ascii="Times New Roman" w:hAnsi="Times New Roman" w:cs="Times New Roman"/>
          <w:sz w:val="24"/>
          <w:szCs w:val="24"/>
        </w:rPr>
        <w:t>(</w:t>
      </w:r>
      <w:hyperlink r:id="rId23" w:tooltip="https://www.jmlr.org/papers/volume15/hoffman14a/hoffman14a.pdf" w:history="1">
        <w:r>
          <w:rPr>
            <w:rStyle w:val="Hyperlink"/>
            <w:rFonts w:ascii="Times New Roman" w:hAnsi="Times New Roman" w:cs="Times New Roman"/>
            <w:color w:val="auto"/>
            <w:sz w:val="24"/>
            <w:szCs w:val="24"/>
          </w:rPr>
          <w:t xml:space="preserve">Hoffman &amp; </w:t>
        </w:r>
        <w:proofErr w:type="spellStart"/>
        <w:r>
          <w:rPr>
            <w:rStyle w:val="Hyperlink"/>
            <w:rFonts w:ascii="Times New Roman" w:hAnsi="Times New Roman" w:cs="Times New Roman"/>
            <w:color w:val="auto"/>
            <w:sz w:val="24"/>
            <w:szCs w:val="24"/>
          </w:rPr>
          <w:t>Gelman</w:t>
        </w:r>
        <w:proofErr w:type="spellEnd"/>
        <w:r>
          <w:rPr>
            <w:rStyle w:val="Hyperlink"/>
            <w:rFonts w:ascii="Times New Roman" w:hAnsi="Times New Roman" w:cs="Times New Roman"/>
            <w:color w:val="auto"/>
            <w:sz w:val="24"/>
            <w:szCs w:val="24"/>
          </w:rPr>
          <w:t>, 2014</w:t>
        </w:r>
      </w:hyperlink>
      <w:r>
        <w:rPr>
          <w:rFonts w:ascii="Times New Roman" w:hAnsi="Times New Roman" w:cs="Times New Roman"/>
          <w:sz w:val="24"/>
          <w:szCs w:val="24"/>
        </w:rPr>
        <w:t>)</w:t>
      </w:r>
      <w:r>
        <w:rPr>
          <w:rStyle w:val="markedcontent"/>
          <w:rFonts w:ascii="Times New Roman" w:hAnsi="Times New Roman" w:cs="Times New Roman"/>
          <w:sz w:val="24"/>
          <w:szCs w:val="24"/>
        </w:rPr>
        <w:t xml:space="preserve">. It is worth noting that PyMC3 takes the advantage of </w:t>
      </w:r>
      <w:proofErr w:type="spellStart"/>
      <w:r>
        <w:rPr>
          <w:rStyle w:val="markedcontent"/>
          <w:rFonts w:ascii="Times New Roman" w:hAnsi="Times New Roman" w:cs="Times New Roman"/>
          <w:sz w:val="24"/>
          <w:szCs w:val="24"/>
        </w:rPr>
        <w:t>Theano</w:t>
      </w:r>
      <w:proofErr w:type="spellEnd"/>
      <w:r>
        <w:rPr>
          <w:rStyle w:val="markedcontent"/>
          <w:rFonts w:ascii="Times New Roman" w:hAnsi="Times New Roman" w:cs="Times New Roman"/>
          <w:sz w:val="24"/>
          <w:szCs w:val="24"/>
        </w:rPr>
        <w:t xml:space="preserve"> </w:t>
      </w:r>
      <w:r>
        <w:rPr>
          <w:rFonts w:ascii="Times New Roman" w:hAnsi="Times New Roman" w:cs="Times New Roman"/>
          <w:sz w:val="24"/>
          <w:szCs w:val="24"/>
        </w:rPr>
        <w:t>(</w:t>
      </w:r>
      <w:proofErr w:type="spellStart"/>
      <w:r w:rsidR="00B94261">
        <w:fldChar w:fldCharType="begin"/>
      </w:r>
      <w:r w:rsidR="00B94261">
        <w:instrText xml:space="preserve"> HYPERLINK "https://www.iro.umontreal.ca/~lisa/pointeurs/theano_scipy2010.pdf" </w:instrText>
      </w:r>
      <w:r w:rsidR="00B94261">
        <w:fldChar w:fldCharType="separate"/>
      </w:r>
      <w:r>
        <w:rPr>
          <w:rStyle w:val="Hyperlink"/>
          <w:rFonts w:ascii="Times New Roman" w:hAnsi="Times New Roman" w:cs="Times New Roman"/>
          <w:color w:val="auto"/>
          <w:sz w:val="24"/>
          <w:szCs w:val="24"/>
        </w:rPr>
        <w:t>Bergstra</w:t>
      </w:r>
      <w:proofErr w:type="spellEnd"/>
      <w:r>
        <w:rPr>
          <w:rStyle w:val="Hyperlink"/>
          <w:rFonts w:ascii="Times New Roman" w:hAnsi="Times New Roman" w:cs="Times New Roman"/>
          <w:color w:val="auto"/>
          <w:sz w:val="24"/>
          <w:szCs w:val="24"/>
        </w:rPr>
        <w:t xml:space="preserve"> et al., 2010</w:t>
      </w:r>
      <w:r w:rsidR="00B94261">
        <w:rPr>
          <w:rStyle w:val="Hyperlink"/>
          <w:rFonts w:ascii="Times New Roman" w:hAnsi="Times New Roman" w:cs="Times New Roman"/>
          <w:color w:val="auto"/>
          <w:sz w:val="24"/>
          <w:szCs w:val="24"/>
        </w:rPr>
        <w:fldChar w:fldCharType="end"/>
      </w:r>
      <w:r>
        <w:rPr>
          <w:rFonts w:ascii="Times New Roman" w:hAnsi="Times New Roman" w:cs="Times New Roman"/>
          <w:sz w:val="24"/>
          <w:szCs w:val="24"/>
        </w:rPr>
        <w:t>)</w:t>
      </w:r>
      <w:r>
        <w:rPr>
          <w:rStyle w:val="markedcontent"/>
          <w:rFonts w:ascii="Times New Roman" w:hAnsi="Times New Roman" w:cs="Times New Roman"/>
          <w:sz w:val="24"/>
          <w:szCs w:val="24"/>
        </w:rPr>
        <w:t xml:space="preserve"> as</w:t>
      </w:r>
      <w:r>
        <w:rPr>
          <w:rFonts w:ascii="Times New Roman" w:hAnsi="Times New Roman" w:cs="Times New Roman"/>
          <w:sz w:val="24"/>
          <w:szCs w:val="24"/>
        </w:rPr>
        <w:t xml:space="preserve"> </w:t>
      </w:r>
      <w:r>
        <w:rPr>
          <w:rStyle w:val="markedcontent"/>
          <w:rFonts w:ascii="Times New Roman" w:hAnsi="Times New Roman" w:cs="Times New Roman"/>
          <w:sz w:val="24"/>
          <w:szCs w:val="24"/>
        </w:rPr>
        <w:t>backend to transparently transcode models to a C code and compile them to machine code.</w:t>
      </w:r>
    </w:p>
    <w:p w:rsidR="008A6B28" w:rsidRDefault="00DF2F8E" w:rsidP="00DE1E49">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 results of the posterior MCMC sampling draws get stored in a PyMC3 data object called </w:t>
      </w:r>
      <w:r>
        <w:rPr>
          <w:rFonts w:ascii="Times New Roman" w:hAnsi="Times New Roman" w:cs="Times New Roman"/>
          <w:i/>
          <w:iCs/>
          <w:sz w:val="24"/>
          <w:szCs w:val="24"/>
        </w:rPr>
        <w:t>trace</w:t>
      </w:r>
      <w:r>
        <w:rPr>
          <w:rFonts w:ascii="Times New Roman" w:hAnsi="Times New Roman" w:cs="Times New Roman"/>
          <w:sz w:val="24"/>
          <w:szCs w:val="24"/>
        </w:rPr>
        <w:t xml:space="preserve">. The values of a trace are not only representing the obtained posterior values but also might indicate the reliability of parameter space exploration by the employed MCMC sampling algorithm. The model trace convergence is evaluated by means of the </w:t>
      </w:r>
      <w:proofErr w:type="spellStart"/>
      <w:r>
        <w:rPr>
          <w:rFonts w:ascii="Times New Roman" w:hAnsi="Times New Roman" w:cs="Times New Roman"/>
          <w:sz w:val="24"/>
          <w:szCs w:val="24"/>
        </w:rPr>
        <w:t>Gelman</w:t>
      </w:r>
      <w:proofErr w:type="spellEnd"/>
      <w:r>
        <w:rPr>
          <w:rFonts w:ascii="Times New Roman" w:hAnsi="Times New Roman" w:cs="Times New Roman"/>
          <w:sz w:val="24"/>
          <w:szCs w:val="24"/>
        </w:rPr>
        <w:t xml:space="preserve">-Rubin </w:t>
      </w:r>
      <w:proofErr w:type="spellStart"/>
      <w:r w:rsidRPr="00112A4E">
        <w:rPr>
          <w:rStyle w:val="mi"/>
          <w:rFonts w:ascii="Times New Roman" w:hAnsi="Times New Roman" w:cs="Times New Roman"/>
          <w:i/>
          <w:iCs/>
          <w:sz w:val="24"/>
          <w:szCs w:val="24"/>
        </w:rPr>
        <w:t>R</w:t>
      </w:r>
      <w:r w:rsidRPr="00112A4E">
        <w:rPr>
          <w:rStyle w:val="mo"/>
          <w:rFonts w:ascii="Times New Roman" w:hAnsi="Times New Roman" w:cs="Times New Roman"/>
          <w:i/>
          <w:iCs/>
          <w:sz w:val="24"/>
          <w:szCs w:val="24"/>
        </w:rPr>
        <w:t>_hat</w:t>
      </w:r>
      <w:proofErr w:type="spellEnd"/>
      <w:r>
        <w:rPr>
          <w:rFonts w:ascii="Times New Roman" w:hAnsi="Times New Roman" w:cs="Times New Roman"/>
          <w:sz w:val="24"/>
          <w:szCs w:val="24"/>
        </w:rPr>
        <w:t xml:space="preserve"> statistic (</w:t>
      </w:r>
      <w:hyperlink r:id="rId24" w:tooltip="https://www.tandfonline.com/doi/abs/10.1080/10618600.1998.10474787" w:history="1">
        <w:r>
          <w:rPr>
            <w:rStyle w:val="Hyperlink"/>
            <w:rFonts w:ascii="Times New Roman" w:hAnsi="Times New Roman" w:cs="Times New Roman"/>
            <w:color w:val="auto"/>
            <w:sz w:val="24"/>
            <w:szCs w:val="24"/>
          </w:rPr>
          <w:t xml:space="preserve">Brooks and </w:t>
        </w:r>
        <w:proofErr w:type="spellStart"/>
        <w:r>
          <w:rPr>
            <w:rStyle w:val="Hyperlink"/>
            <w:rFonts w:ascii="Times New Roman" w:hAnsi="Times New Roman" w:cs="Times New Roman"/>
            <w:color w:val="auto"/>
            <w:sz w:val="24"/>
            <w:szCs w:val="24"/>
          </w:rPr>
          <w:t>Gelman</w:t>
        </w:r>
        <w:proofErr w:type="spellEnd"/>
        <w:r>
          <w:rPr>
            <w:rStyle w:val="Hyperlink"/>
            <w:rFonts w:ascii="Times New Roman" w:hAnsi="Times New Roman" w:cs="Times New Roman"/>
            <w:color w:val="auto"/>
            <w:sz w:val="24"/>
            <w:szCs w:val="24"/>
          </w:rPr>
          <w:t>, 1998</w:t>
        </w:r>
      </w:hyperlink>
      <w:r>
        <w:rPr>
          <w:rFonts w:ascii="Times New Roman" w:hAnsi="Times New Roman" w:cs="Times New Roman"/>
          <w:sz w:val="24"/>
          <w:szCs w:val="24"/>
        </w:rPr>
        <w:t xml:space="preserve">). </w:t>
      </w:r>
      <w:proofErr w:type="spellStart"/>
      <w:r w:rsidRPr="00112A4E">
        <w:rPr>
          <w:rFonts w:ascii="Times New Roman" w:hAnsi="Times New Roman" w:cs="Times New Roman"/>
          <w:i/>
          <w:iCs/>
          <w:sz w:val="24"/>
          <w:szCs w:val="24"/>
        </w:rPr>
        <w:t>R_hat</w:t>
      </w:r>
      <w:proofErr w:type="spellEnd"/>
      <w:r>
        <w:rPr>
          <w:rFonts w:ascii="Times New Roman" w:hAnsi="Times New Roman" w:cs="Times New Roman"/>
          <w:sz w:val="24"/>
          <w:szCs w:val="24"/>
        </w:rPr>
        <w:t xml:space="preserve"> Values not close to one indicate that trace values move wildly or get stuck and that sampling failed to cover the parameter space effectively. Hence, in practice we are looking for </w:t>
      </w:r>
      <w:proofErr w:type="spellStart"/>
      <w:r>
        <w:rPr>
          <w:rFonts w:ascii="Times New Roman" w:hAnsi="Times New Roman" w:cs="Times New Roman"/>
          <w:sz w:val="24"/>
          <w:szCs w:val="24"/>
        </w:rPr>
        <w:t>R_hat</w:t>
      </w:r>
      <w:proofErr w:type="spellEnd"/>
      <w:r>
        <w:rPr>
          <w:rFonts w:ascii="Times New Roman" w:hAnsi="Times New Roman" w:cs="Times New Roman"/>
          <w:sz w:val="24"/>
          <w:szCs w:val="24"/>
        </w:rPr>
        <w:t xml:space="preserve"> values close to one. </w:t>
      </w:r>
      <w:r w:rsidR="00DE1E49">
        <w:rPr>
          <w:rFonts w:ascii="Times New Roman" w:hAnsi="Times New Roman" w:cs="Times New Roman"/>
          <w:sz w:val="24"/>
          <w:szCs w:val="24"/>
        </w:rPr>
        <w:t>The resulting</w:t>
      </w:r>
      <w:r>
        <w:rPr>
          <w:rFonts w:ascii="Times New Roman" w:hAnsi="Times New Roman" w:cs="Times New Roman"/>
          <w:sz w:val="24"/>
          <w:szCs w:val="24"/>
        </w:rPr>
        <w:t xml:space="preserve"> trace plots regarding the predictive distributions of </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oMath>
      <w:r>
        <w:rPr>
          <w:rFonts w:ascii="Times New Roman" w:hAnsi="Times New Roman" w:cs="Times New Roman"/>
          <w:sz w:val="24"/>
          <w:szCs w:val="24"/>
        </w:rPr>
        <w:t xml:space="preserve"> by investigation of the G</w:t>
      </w:r>
      <w:r w:rsidR="00DE1E49">
        <w:rPr>
          <w:rFonts w:ascii="Times New Roman" w:hAnsi="Times New Roman" w:cs="Times New Roman"/>
          <w:sz w:val="24"/>
          <w:szCs w:val="24"/>
        </w:rPr>
        <w:t xml:space="preserve">yms and sport centers closings in Germany </w:t>
      </w:r>
      <w:r w:rsidR="00444B36">
        <w:rPr>
          <w:rFonts w:ascii="Times New Roman" w:hAnsi="Times New Roman" w:cs="Times New Roman"/>
          <w:sz w:val="24"/>
          <w:szCs w:val="24"/>
        </w:rPr>
        <w:t>are shown in figure 3</w:t>
      </w:r>
      <w:r>
        <w:rPr>
          <w:rFonts w:ascii="Times New Roman" w:hAnsi="Times New Roman" w:cs="Times New Roman"/>
          <w:sz w:val="24"/>
          <w:szCs w:val="24"/>
        </w:rPr>
        <w:t>.</w:t>
      </w:r>
    </w:p>
    <w:p w:rsidR="008A6B28" w:rsidRDefault="008A6B28">
      <w:pPr>
        <w:spacing w:line="360" w:lineRule="auto"/>
        <w:jc w:val="both"/>
        <w:rPr>
          <w:rFonts w:ascii="Times New Roman" w:hAnsi="Times New Roman" w:cs="Times New Roman"/>
          <w:sz w:val="24"/>
          <w:szCs w:val="24"/>
        </w:rPr>
      </w:pPr>
    </w:p>
    <w:p w:rsidR="008A6B28" w:rsidRDefault="00DE1E49" w:rsidP="00DE1E49">
      <w:pPr>
        <w:keepNext/>
        <w:spacing w:line="360" w:lineRule="auto"/>
        <w:jc w:val="center"/>
        <w:rPr>
          <w:rFonts w:ascii="Times New Roman" w:hAnsi="Times New Roman" w:cs="Times New Roman"/>
          <w:sz w:val="24"/>
          <w:szCs w:val="24"/>
        </w:rPr>
      </w:pPr>
      <w:r>
        <w:rPr>
          <w:noProof/>
        </w:rPr>
        <w:lastRenderedPageBreak/>
        <w:drawing>
          <wp:inline distT="0" distB="0" distL="0" distR="0" wp14:anchorId="52273CA2" wp14:editId="06249456">
            <wp:extent cx="5486400" cy="78790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486400" cy="7879080"/>
                    </a:xfrm>
                    <a:prstGeom prst="rect">
                      <a:avLst/>
                    </a:prstGeom>
                  </pic:spPr>
                </pic:pic>
              </a:graphicData>
            </a:graphic>
          </wp:inline>
        </w:drawing>
      </w:r>
    </w:p>
    <w:p w:rsidR="008A6B28" w:rsidRDefault="00444B36" w:rsidP="00DE1E49">
      <w:pPr>
        <w:pStyle w:val="Caption"/>
        <w:spacing w:line="360" w:lineRule="auto"/>
        <w:jc w:val="both"/>
        <w:rPr>
          <w:rFonts w:ascii="Times New Roman" w:hAnsi="Times New Roman" w:cs="Times New Roman"/>
          <w:i w:val="0"/>
          <w:iCs w:val="0"/>
          <w:color w:val="auto"/>
          <w:sz w:val="20"/>
          <w:szCs w:val="20"/>
        </w:rPr>
      </w:pPr>
      <w:r>
        <w:rPr>
          <w:rFonts w:ascii="Times New Roman" w:hAnsi="Times New Roman" w:cs="Times New Roman"/>
          <w:i w:val="0"/>
          <w:iCs w:val="0"/>
          <w:color w:val="auto"/>
          <w:sz w:val="20"/>
          <w:szCs w:val="20"/>
        </w:rPr>
        <w:lastRenderedPageBreak/>
        <w:t>Figure 3</w:t>
      </w:r>
      <w:r w:rsidR="00D96261">
        <w:rPr>
          <w:rFonts w:ascii="Times New Roman" w:hAnsi="Times New Roman" w:cs="Times New Roman"/>
          <w:i w:val="0"/>
          <w:iCs w:val="0"/>
          <w:color w:val="auto"/>
          <w:sz w:val="20"/>
          <w:szCs w:val="20"/>
        </w:rPr>
        <w:t xml:space="preserve"> </w:t>
      </w:r>
      <w:r w:rsidR="00D96261" w:rsidRPr="00686E2C">
        <w:rPr>
          <w:rFonts w:ascii="Times New Roman" w:hAnsi="Times New Roman" w:cs="Times New Roman"/>
          <w:i w:val="0"/>
          <w:iCs w:val="0"/>
          <w:sz w:val="20"/>
          <w:szCs w:val="20"/>
        </w:rPr>
        <w:t>(high resolution image)</w:t>
      </w:r>
      <w:r w:rsidR="00DF2F8E">
        <w:rPr>
          <w:rFonts w:ascii="Times New Roman" w:hAnsi="Times New Roman" w:cs="Times New Roman"/>
          <w:i w:val="0"/>
          <w:iCs w:val="0"/>
          <w:color w:val="auto"/>
          <w:sz w:val="20"/>
          <w:szCs w:val="20"/>
        </w:rPr>
        <w:t xml:space="preserve">: </w:t>
      </w:r>
      <w:r w:rsidR="00DE1E49">
        <w:rPr>
          <w:rFonts w:ascii="Times New Roman" w:hAnsi="Times New Roman" w:cs="Times New Roman"/>
          <w:i w:val="0"/>
          <w:iCs w:val="0"/>
          <w:color w:val="auto"/>
          <w:sz w:val="20"/>
          <w:szCs w:val="20"/>
        </w:rPr>
        <w:t>T</w:t>
      </w:r>
      <w:r w:rsidR="00DF2F8E">
        <w:rPr>
          <w:rFonts w:ascii="Times New Roman" w:hAnsi="Times New Roman" w:cs="Times New Roman"/>
          <w:i w:val="0"/>
          <w:iCs w:val="0"/>
          <w:color w:val="auto"/>
          <w:sz w:val="20"/>
          <w:szCs w:val="20"/>
        </w:rPr>
        <w:t xml:space="preserve">he resulting trace regarding the effect of gyms and sport center closings in </w:t>
      </w:r>
      <w:r w:rsidR="00DE1E49">
        <w:rPr>
          <w:rFonts w:ascii="Times New Roman" w:hAnsi="Times New Roman" w:cs="Times New Roman"/>
          <w:i w:val="0"/>
          <w:iCs w:val="0"/>
          <w:color w:val="auto"/>
          <w:sz w:val="20"/>
          <w:szCs w:val="20"/>
        </w:rPr>
        <w:t>Germany.</w:t>
      </w:r>
    </w:p>
    <w:p w:rsidR="008A6B28" w:rsidRDefault="00460FAA" w:rsidP="00460FAA">
      <w:pPr>
        <w:pStyle w:val="Heading3"/>
        <w:rPr>
          <w:rFonts w:ascii="Times New Roman" w:hAnsi="Times New Roman" w:cs="Times New Roman"/>
          <w:sz w:val="24"/>
          <w:szCs w:val="24"/>
        </w:rPr>
      </w:pPr>
      <w:r>
        <w:rPr>
          <w:rFonts w:ascii="Times New Roman" w:hAnsi="Times New Roman" w:cs="Times New Roman"/>
          <w:sz w:val="24"/>
          <w:szCs w:val="24"/>
        </w:rPr>
        <w:t>3.6 Explanatory factors</w:t>
      </w:r>
      <w:r w:rsidR="004E425F">
        <w:rPr>
          <w:rFonts w:ascii="Times New Roman" w:hAnsi="Times New Roman" w:cs="Times New Roman"/>
          <w:sz w:val="24"/>
          <w:szCs w:val="24"/>
        </w:rPr>
        <w:t>’ efficiencies</w:t>
      </w:r>
    </w:p>
    <w:p w:rsidR="006F23A4" w:rsidRDefault="006F23A4" w:rsidP="006F23A4">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In this section we define the concept of </w:t>
      </w:r>
      <w:r w:rsidRPr="006F23A4">
        <w:rPr>
          <w:rFonts w:ascii="Times New Roman" w:hAnsi="Times New Roman" w:cs="Times New Roman"/>
          <w:i/>
          <w:iCs/>
          <w:sz w:val="24"/>
          <w:szCs w:val="24"/>
        </w:rPr>
        <w:t>efficiency</w:t>
      </w:r>
      <w:r>
        <w:rPr>
          <w:rFonts w:ascii="Times New Roman" w:hAnsi="Times New Roman" w:cs="Times New Roman"/>
          <w:sz w:val="24"/>
          <w:szCs w:val="24"/>
        </w:rPr>
        <w:t xml:space="preserve"> of a factor to be the probability that presence (activation) of a factor within an arbitrary day, grants less value of growth rate in comparison to the absence (non-activation) of that factor. Before formalizing the definition</w:t>
      </w:r>
      <w:r w:rsidR="00E0084F">
        <w:rPr>
          <w:rFonts w:ascii="Times New Roman" w:hAnsi="Times New Roman" w:cs="Times New Roman"/>
          <w:sz w:val="24"/>
          <w:szCs w:val="24"/>
        </w:rPr>
        <w:t xml:space="preserve"> in equation 5</w:t>
      </w:r>
      <w:r>
        <w:rPr>
          <w:rFonts w:ascii="Times New Roman" w:hAnsi="Times New Roman" w:cs="Times New Roman"/>
          <w:sz w:val="24"/>
          <w:szCs w:val="24"/>
        </w:rPr>
        <w:t>, one can look at the f</w:t>
      </w:r>
      <w:r w:rsidR="00FC6D38">
        <w:rPr>
          <w:rFonts w:ascii="Times New Roman" w:hAnsi="Times New Roman" w:cs="Times New Roman"/>
          <w:sz w:val="24"/>
          <w:szCs w:val="24"/>
        </w:rPr>
        <w:t>igure</w:t>
      </w:r>
      <w:r w:rsidR="00D445D5">
        <w:rPr>
          <w:rFonts w:ascii="Times New Roman" w:hAnsi="Times New Roman" w:cs="Times New Roman"/>
          <w:sz w:val="24"/>
          <w:szCs w:val="24"/>
        </w:rPr>
        <w:t>s</w:t>
      </w:r>
      <w:r w:rsidR="00FC6D38">
        <w:rPr>
          <w:rFonts w:ascii="Times New Roman" w:hAnsi="Times New Roman" w:cs="Times New Roman"/>
          <w:sz w:val="24"/>
          <w:szCs w:val="24"/>
        </w:rPr>
        <w:t xml:space="preserve"> 5</w:t>
      </w:r>
      <w:r>
        <w:rPr>
          <w:rFonts w:ascii="Times New Roman" w:hAnsi="Times New Roman" w:cs="Times New Roman"/>
          <w:sz w:val="24"/>
          <w:szCs w:val="24"/>
        </w:rPr>
        <w:t xml:space="preserve"> and 6, which </w:t>
      </w:r>
      <w:r w:rsidR="00D445D5">
        <w:rPr>
          <w:rFonts w:ascii="Times New Roman" w:hAnsi="Times New Roman" w:cs="Times New Roman"/>
          <w:sz w:val="24"/>
          <w:szCs w:val="24"/>
        </w:rPr>
        <w:t>illuminate</w:t>
      </w:r>
      <w:r w:rsidR="00FC6D38">
        <w:rPr>
          <w:rFonts w:ascii="Times New Roman" w:hAnsi="Times New Roman" w:cs="Times New Roman"/>
          <w:sz w:val="24"/>
          <w:szCs w:val="24"/>
        </w:rPr>
        <w:t xml:space="preserve"> the inference procedure from the observed data (left column</w:t>
      </w:r>
      <w:r w:rsidR="00D445D5">
        <w:rPr>
          <w:rFonts w:ascii="Times New Roman" w:hAnsi="Times New Roman" w:cs="Times New Roman"/>
          <w:sz w:val="24"/>
          <w:szCs w:val="24"/>
        </w:rPr>
        <w:t xml:space="preserve"> of the figure 5</w:t>
      </w:r>
      <w:r w:rsidR="00FC6D38">
        <w:rPr>
          <w:rFonts w:ascii="Times New Roman" w:hAnsi="Times New Roman" w:cs="Times New Roman"/>
          <w:sz w:val="24"/>
          <w:szCs w:val="24"/>
        </w:rPr>
        <w:t>) to obtaining p</w:t>
      </w:r>
      <w:r w:rsidR="00FC6D38" w:rsidRPr="00FC6D38">
        <w:rPr>
          <w:rFonts w:ascii="Times New Roman" w:hAnsi="Times New Roman" w:cs="Times New Roman"/>
          <w:sz w:val="24"/>
          <w:szCs w:val="24"/>
        </w:rPr>
        <w:t xml:space="preserve">osterior predictive </w:t>
      </w:r>
      <w:r w:rsidR="00FC6D38">
        <w:rPr>
          <w:rFonts w:ascii="Times New Roman" w:hAnsi="Times New Roman" w:cs="Times New Roman"/>
          <w:sz w:val="24"/>
          <w:szCs w:val="24"/>
        </w:rPr>
        <w:t xml:space="preserve">distributions of growth rates (middle </w:t>
      </w:r>
      <w:r w:rsidR="00B81334">
        <w:rPr>
          <w:rFonts w:ascii="Times New Roman" w:hAnsi="Times New Roman" w:cs="Times New Roman"/>
          <w:sz w:val="24"/>
          <w:szCs w:val="24"/>
        </w:rPr>
        <w:t xml:space="preserve">and the right hand </w:t>
      </w:r>
      <w:r w:rsidR="00FC6D38">
        <w:rPr>
          <w:rFonts w:ascii="Times New Roman" w:hAnsi="Times New Roman" w:cs="Times New Roman"/>
          <w:sz w:val="24"/>
          <w:szCs w:val="24"/>
        </w:rPr>
        <w:t>column</w:t>
      </w:r>
      <w:r w:rsidR="00D445D5">
        <w:rPr>
          <w:rFonts w:ascii="Times New Roman" w:hAnsi="Times New Roman" w:cs="Times New Roman"/>
          <w:sz w:val="24"/>
          <w:szCs w:val="24"/>
        </w:rPr>
        <w:t xml:space="preserve"> of the figure 5</w:t>
      </w:r>
      <w:r w:rsidR="00FC6D38">
        <w:rPr>
          <w:rFonts w:ascii="Times New Roman" w:hAnsi="Times New Roman" w:cs="Times New Roman"/>
          <w:sz w:val="24"/>
          <w:szCs w:val="24"/>
        </w:rPr>
        <w:t>) and to computing the efficiencies (</w:t>
      </w:r>
      <w:r w:rsidR="00D445D5">
        <w:rPr>
          <w:rFonts w:ascii="Times New Roman" w:hAnsi="Times New Roman" w:cs="Times New Roman"/>
          <w:sz w:val="24"/>
          <w:szCs w:val="24"/>
        </w:rPr>
        <w:t>figure 6</w:t>
      </w:r>
      <w:r w:rsidR="00FC6D38">
        <w:rPr>
          <w:rFonts w:ascii="Times New Roman" w:hAnsi="Times New Roman" w:cs="Times New Roman"/>
          <w:sz w:val="24"/>
          <w:szCs w:val="24"/>
        </w:rPr>
        <w:t xml:space="preserve">) by means of the example of </w:t>
      </w:r>
      <w:r w:rsidR="00FC6D38" w:rsidRPr="00FC6D38">
        <w:rPr>
          <w:rFonts w:ascii="Times New Roman" w:hAnsi="Times New Roman" w:cs="Times New Roman"/>
          <w:sz w:val="24"/>
          <w:szCs w:val="24"/>
        </w:rPr>
        <w:t>gyms and sport centers</w:t>
      </w:r>
      <w:r w:rsidR="00FC6D38">
        <w:rPr>
          <w:rFonts w:ascii="Times New Roman" w:hAnsi="Times New Roman" w:cs="Times New Roman"/>
          <w:sz w:val="24"/>
          <w:szCs w:val="24"/>
        </w:rPr>
        <w:t>’ closures</w:t>
      </w:r>
      <w:r w:rsidR="00FC6D38" w:rsidRPr="00FC6D38">
        <w:rPr>
          <w:rFonts w:ascii="Times New Roman" w:hAnsi="Times New Roman" w:cs="Times New Roman"/>
          <w:sz w:val="24"/>
          <w:szCs w:val="24"/>
        </w:rPr>
        <w:t xml:space="preserve"> in 4 most populated European countries</w:t>
      </w:r>
      <w:r w:rsidR="00FC6D38">
        <w:rPr>
          <w:rFonts w:ascii="Times New Roman" w:hAnsi="Times New Roman" w:cs="Times New Roman"/>
          <w:sz w:val="24"/>
          <w:szCs w:val="24"/>
        </w:rPr>
        <w:t>.</w:t>
      </w:r>
      <w:r w:rsidR="00B93656">
        <w:rPr>
          <w:rFonts w:ascii="Times New Roman" w:hAnsi="Times New Roman" w:cs="Times New Roman"/>
          <w:sz w:val="24"/>
          <w:szCs w:val="24"/>
        </w:rPr>
        <w:t xml:space="preserve"> </w:t>
      </w:r>
    </w:p>
    <w:p w:rsidR="00D06441" w:rsidRDefault="00B93656" w:rsidP="004F508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In order to compute each NPI’s efficiency in each country, we first distinguish between the days, where the selected </w:t>
      </w:r>
      <w:r w:rsidR="004F5087">
        <w:rPr>
          <w:rFonts w:ascii="Times New Roman" w:hAnsi="Times New Roman" w:cs="Times New Roman"/>
          <w:sz w:val="24"/>
          <w:szCs w:val="24"/>
        </w:rPr>
        <w:t>factor (</w:t>
      </w:r>
      <w:r w:rsidR="004F5087" w:rsidRPr="00FC6D38">
        <w:rPr>
          <w:rFonts w:ascii="Times New Roman" w:hAnsi="Times New Roman" w:cs="Times New Roman"/>
          <w:sz w:val="24"/>
          <w:szCs w:val="24"/>
        </w:rPr>
        <w:t>gyms and sport centers</w:t>
      </w:r>
      <w:r w:rsidR="004F5087">
        <w:rPr>
          <w:rFonts w:ascii="Times New Roman" w:hAnsi="Times New Roman" w:cs="Times New Roman"/>
          <w:sz w:val="24"/>
          <w:szCs w:val="24"/>
        </w:rPr>
        <w:t>’ closures</w:t>
      </w:r>
      <w:r w:rsidR="004F5087">
        <w:rPr>
          <w:rFonts w:ascii="Times New Roman" w:hAnsi="Times New Roman" w:cs="Times New Roman"/>
          <w:sz w:val="24"/>
          <w:szCs w:val="24"/>
        </w:rPr>
        <w:t>)</w:t>
      </w:r>
      <w:r>
        <w:rPr>
          <w:rFonts w:ascii="Times New Roman" w:hAnsi="Times New Roman" w:cs="Times New Roman"/>
          <w:sz w:val="24"/>
          <w:szCs w:val="24"/>
        </w:rPr>
        <w:t xml:space="preserve"> </w:t>
      </w:r>
      <w:r w:rsidR="004F5087">
        <w:rPr>
          <w:rFonts w:ascii="Times New Roman" w:hAnsi="Times New Roman" w:cs="Times New Roman"/>
          <w:sz w:val="24"/>
          <w:szCs w:val="24"/>
        </w:rPr>
        <w:t>has been</w:t>
      </w:r>
      <w:r>
        <w:rPr>
          <w:rFonts w:ascii="Times New Roman" w:hAnsi="Times New Roman" w:cs="Times New Roman"/>
          <w:sz w:val="24"/>
          <w:szCs w:val="24"/>
        </w:rPr>
        <w:t xml:space="preserve"> </w:t>
      </w:r>
      <w:r w:rsidR="004F5087">
        <w:rPr>
          <w:rFonts w:ascii="Times New Roman" w:hAnsi="Times New Roman" w:cs="Times New Roman"/>
          <w:sz w:val="24"/>
          <w:szCs w:val="24"/>
        </w:rPr>
        <w:t>active</w:t>
      </w:r>
      <w:r>
        <w:rPr>
          <w:rFonts w:ascii="Times New Roman" w:hAnsi="Times New Roman" w:cs="Times New Roman"/>
          <w:sz w:val="24"/>
          <w:szCs w:val="24"/>
        </w:rPr>
        <w:t xml:space="preserve"> (blue bars at the left hand side of the figure 5) within each selected country and those days, where the </w:t>
      </w:r>
      <w:r w:rsidR="004F5087">
        <w:rPr>
          <w:rFonts w:ascii="Times New Roman" w:hAnsi="Times New Roman" w:cs="Times New Roman"/>
          <w:sz w:val="24"/>
          <w:szCs w:val="24"/>
        </w:rPr>
        <w:t>selected</w:t>
      </w:r>
      <w:r>
        <w:rPr>
          <w:rFonts w:ascii="Times New Roman" w:hAnsi="Times New Roman" w:cs="Times New Roman"/>
          <w:sz w:val="24"/>
          <w:szCs w:val="24"/>
        </w:rPr>
        <w:t xml:space="preserve"> has not been </w:t>
      </w:r>
      <w:r w:rsidR="004F5087">
        <w:rPr>
          <w:rFonts w:ascii="Times New Roman" w:hAnsi="Times New Roman" w:cs="Times New Roman"/>
          <w:sz w:val="24"/>
          <w:szCs w:val="24"/>
        </w:rPr>
        <w:t>active</w:t>
      </w:r>
      <w:r>
        <w:rPr>
          <w:rFonts w:ascii="Times New Roman" w:hAnsi="Times New Roman" w:cs="Times New Roman"/>
          <w:sz w:val="24"/>
          <w:szCs w:val="24"/>
        </w:rPr>
        <w:t xml:space="preserve"> (orange bars at the left hand side of the figure 5) in that country. A posterior predictive analysis succeeds by sampling posteriors from parameters </w:t>
      </w:r>
      <w:r w:rsidR="004F5087">
        <w:rPr>
          <w:rFonts w:ascii="Times New Roman" w:hAnsi="Times New Roman" w:cs="Times New Roman"/>
          <w:sz w:val="24"/>
          <w:szCs w:val="24"/>
        </w:rPr>
        <w:t>existing</w:t>
      </w:r>
      <w:r>
        <w:rPr>
          <w:rFonts w:ascii="Times New Roman" w:hAnsi="Times New Roman" w:cs="Times New Roman"/>
          <w:sz w:val="24"/>
          <w:szCs w:val="24"/>
        </w:rPr>
        <w:t xml:space="preserve"> in the figure 3. The model code is attached to the supplementary material of the paper. The results of the sampling inference from posterior distributions are depicted in the middle column of the figure 5 for each country. The right hand side column of the figure 5 represent</w:t>
      </w:r>
      <w:r w:rsidR="00B81334">
        <w:rPr>
          <w:rFonts w:ascii="Times New Roman" w:hAnsi="Times New Roman" w:cs="Times New Roman"/>
          <w:sz w:val="24"/>
          <w:szCs w:val="24"/>
        </w:rPr>
        <w:t xml:space="preserve">s probability density functions, which are </w:t>
      </w:r>
      <w:r>
        <w:rPr>
          <w:rFonts w:ascii="Times New Roman" w:hAnsi="Times New Roman" w:cs="Times New Roman"/>
          <w:sz w:val="24"/>
          <w:szCs w:val="24"/>
        </w:rPr>
        <w:t xml:space="preserve">corresponded </w:t>
      </w:r>
      <w:r w:rsidR="00B81334">
        <w:rPr>
          <w:rFonts w:ascii="Times New Roman" w:hAnsi="Times New Roman" w:cs="Times New Roman"/>
          <w:sz w:val="24"/>
          <w:szCs w:val="24"/>
        </w:rPr>
        <w:t xml:space="preserve">to the </w:t>
      </w:r>
      <w:r>
        <w:rPr>
          <w:rFonts w:ascii="Times New Roman" w:hAnsi="Times New Roman" w:cs="Times New Roman"/>
          <w:sz w:val="24"/>
          <w:szCs w:val="24"/>
        </w:rPr>
        <w:t>probability bars for each country in the middle column</w:t>
      </w:r>
      <w:r w:rsidR="00CF2E06">
        <w:rPr>
          <w:rFonts w:ascii="Times New Roman" w:hAnsi="Times New Roman" w:cs="Times New Roman"/>
          <w:sz w:val="24"/>
          <w:szCs w:val="24"/>
        </w:rPr>
        <w:t xml:space="preserve"> as well as to the model trace parameters related to the </w:t>
      </w:r>
      <w:proofErr w:type="spellStart"/>
      <w:r w:rsidR="00CF2E06">
        <w:rPr>
          <w:rFonts w:ascii="Times New Roman" w:hAnsi="Times New Roman" w:cs="Times New Roman"/>
          <w:sz w:val="24"/>
          <w:szCs w:val="24"/>
        </w:rPr>
        <w:t>pred_Country</w:t>
      </w:r>
      <w:proofErr w:type="spellEnd"/>
      <w:r w:rsidR="00CF2E06">
        <w:rPr>
          <w:rFonts w:ascii="Times New Roman" w:hAnsi="Times New Roman" w:cs="Times New Roman"/>
          <w:sz w:val="24"/>
          <w:szCs w:val="24"/>
        </w:rPr>
        <w:t xml:space="preserve">+ and </w:t>
      </w:r>
      <w:proofErr w:type="spellStart"/>
      <w:r w:rsidR="00CF2E06">
        <w:rPr>
          <w:rFonts w:ascii="Times New Roman" w:hAnsi="Times New Roman" w:cs="Times New Roman"/>
          <w:sz w:val="24"/>
          <w:szCs w:val="24"/>
        </w:rPr>
        <w:t>pred_Country</w:t>
      </w:r>
      <w:proofErr w:type="spellEnd"/>
      <w:r w:rsidR="00CF2E06">
        <w:rPr>
          <w:rFonts w:ascii="Times New Roman" w:hAnsi="Times New Roman" w:cs="Times New Roman"/>
          <w:sz w:val="24"/>
          <w:szCs w:val="24"/>
        </w:rPr>
        <w:t xml:space="preserve">- in figure 3 (and as it is shown by the example of </w:t>
      </w:r>
      <w:proofErr w:type="spellStart"/>
      <w:r w:rsidR="00CF2E06">
        <w:rPr>
          <w:rFonts w:ascii="Times New Roman" w:hAnsi="Times New Roman" w:cs="Times New Roman"/>
          <w:sz w:val="24"/>
          <w:szCs w:val="24"/>
        </w:rPr>
        <w:t>pred_Germany</w:t>
      </w:r>
      <w:proofErr w:type="spellEnd"/>
      <w:r w:rsidR="00CF2E06">
        <w:rPr>
          <w:rFonts w:ascii="Times New Roman" w:hAnsi="Times New Roman" w:cs="Times New Roman"/>
          <w:sz w:val="24"/>
          <w:szCs w:val="24"/>
        </w:rPr>
        <w:t xml:space="preserve"> in figure 4)</w:t>
      </w:r>
      <w:r>
        <w:rPr>
          <w:rFonts w:ascii="Times New Roman" w:hAnsi="Times New Roman" w:cs="Times New Roman"/>
          <w:sz w:val="24"/>
          <w:szCs w:val="24"/>
        </w:rPr>
        <w:t>.</w:t>
      </w:r>
      <w:r w:rsidR="00CF2E06">
        <w:rPr>
          <w:rFonts w:ascii="Times New Roman" w:hAnsi="Times New Roman" w:cs="Times New Roman"/>
          <w:sz w:val="24"/>
          <w:szCs w:val="24"/>
        </w:rPr>
        <w:t xml:space="preserve"> </w:t>
      </w:r>
    </w:p>
    <w:p w:rsidR="00D06441" w:rsidRDefault="00D06441">
      <w:pPr>
        <w:spacing w:line="360" w:lineRule="auto"/>
        <w:jc w:val="both"/>
        <w:rPr>
          <w:rFonts w:ascii="Times New Roman" w:hAnsi="Times New Roman" w:cs="Times New Roman"/>
          <w:sz w:val="24"/>
          <w:szCs w:val="24"/>
        </w:rPr>
      </w:pPr>
    </w:p>
    <w:p w:rsidR="00D06441" w:rsidRDefault="00D06441" w:rsidP="00D06441">
      <w:pPr>
        <w:keepNext/>
        <w:spacing w:line="360" w:lineRule="auto"/>
        <w:rPr>
          <w:rFonts w:ascii="Times New Roman" w:hAnsi="Times New Roman" w:cs="Times New Roman"/>
          <w:sz w:val="24"/>
          <w:szCs w:val="24"/>
        </w:rPr>
      </w:pPr>
      <w:r>
        <w:rPr>
          <w:rFonts w:ascii="Times New Roman" w:hAnsi="Times New Roman" w:cs="Times New Roman"/>
          <w:noProof/>
          <w:sz w:val="24"/>
          <w:szCs w:val="24"/>
        </w:rPr>
        <w:lastRenderedPageBreak/>
        <w:drawing>
          <wp:inline distT="0" distB="0" distL="0" distR="0" wp14:anchorId="26D03896" wp14:editId="1D1795B5">
            <wp:extent cx="6401775" cy="7387050"/>
            <wp:effectExtent l="0" t="0" r="0" b="0"/>
            <wp:docPr id="4"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
                    <pic:cNvPicPr>
                      <a:picLocks noChangeAspect="1"/>
                    </pic:cNvPicPr>
                  </pic:nvPicPr>
                  <pic:blipFill>
                    <a:blip r:embed="rId26"/>
                    <a:stretch/>
                  </pic:blipFill>
                  <pic:spPr bwMode="auto">
                    <a:xfrm>
                      <a:off x="0" y="0"/>
                      <a:ext cx="6401774" cy="7387049"/>
                    </a:xfrm>
                    <a:prstGeom prst="rect">
                      <a:avLst/>
                    </a:prstGeom>
                  </pic:spPr>
                </pic:pic>
              </a:graphicData>
            </a:graphic>
          </wp:inline>
        </w:drawing>
      </w:r>
    </w:p>
    <w:p w:rsidR="00D06441" w:rsidRDefault="00D06441" w:rsidP="00D06441">
      <w:pPr>
        <w:pStyle w:val="Caption"/>
        <w:spacing w:line="360" w:lineRule="auto"/>
        <w:rPr>
          <w:rFonts w:ascii="Times New Roman" w:hAnsi="Times New Roman" w:cs="Times New Roman"/>
          <w:i w:val="0"/>
          <w:iCs w:val="0"/>
          <w:color w:val="auto"/>
          <w:sz w:val="20"/>
          <w:szCs w:val="20"/>
        </w:rPr>
      </w:pPr>
      <w:r>
        <w:rPr>
          <w:rFonts w:ascii="Times New Roman" w:hAnsi="Times New Roman" w:cs="Times New Roman"/>
          <w:i w:val="0"/>
          <w:iCs w:val="0"/>
          <w:color w:val="auto"/>
          <w:sz w:val="20"/>
          <w:szCs w:val="20"/>
        </w:rPr>
        <w:t>Figure 5</w:t>
      </w:r>
      <w:r w:rsidR="00D96261">
        <w:rPr>
          <w:rFonts w:ascii="Times New Roman" w:hAnsi="Times New Roman" w:cs="Times New Roman"/>
          <w:i w:val="0"/>
          <w:iCs w:val="0"/>
          <w:color w:val="auto"/>
          <w:sz w:val="20"/>
          <w:szCs w:val="20"/>
        </w:rPr>
        <w:t xml:space="preserve"> </w:t>
      </w:r>
      <w:r w:rsidR="00D96261" w:rsidRPr="00686E2C">
        <w:rPr>
          <w:rFonts w:ascii="Times New Roman" w:hAnsi="Times New Roman" w:cs="Times New Roman"/>
          <w:i w:val="0"/>
          <w:iCs w:val="0"/>
          <w:sz w:val="20"/>
          <w:szCs w:val="20"/>
        </w:rPr>
        <w:t>(high resolution image)</w:t>
      </w:r>
      <w:r>
        <w:rPr>
          <w:rFonts w:ascii="Times New Roman" w:hAnsi="Times New Roman" w:cs="Times New Roman"/>
          <w:i w:val="0"/>
          <w:iCs w:val="0"/>
          <w:color w:val="auto"/>
          <w:sz w:val="20"/>
          <w:szCs w:val="20"/>
        </w:rPr>
        <w:t>: Posterior predictive results regarding implementation (positive signed) versus non implementation (negative signed) of gyms and sport centers in 4 most populated European countries.</w:t>
      </w:r>
    </w:p>
    <w:p w:rsidR="00D06441" w:rsidRDefault="00D06441">
      <w:pPr>
        <w:spacing w:line="360" w:lineRule="auto"/>
        <w:jc w:val="both"/>
        <w:rPr>
          <w:rFonts w:ascii="Times New Roman" w:hAnsi="Times New Roman" w:cs="Times New Roman"/>
          <w:sz w:val="24"/>
          <w:szCs w:val="24"/>
        </w:rPr>
      </w:pPr>
    </w:p>
    <w:p w:rsidR="008A6B28" w:rsidRDefault="00DF2F8E" w:rsidP="007806D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 distinguished </w:t>
      </w:r>
      <w:r w:rsidR="00B93656">
        <w:rPr>
          <w:rFonts w:ascii="Times New Roman" w:hAnsi="Times New Roman" w:cs="Times New Roman"/>
          <w:sz w:val="24"/>
          <w:szCs w:val="24"/>
        </w:rPr>
        <w:t>(</w:t>
      </w:r>
      <w:r>
        <w:rPr>
          <w:rFonts w:ascii="Times New Roman" w:hAnsi="Times New Roman" w:cs="Times New Roman"/>
          <w:sz w:val="24"/>
          <w:szCs w:val="24"/>
        </w:rPr>
        <w:t>positive-signed and negative-signed</w:t>
      </w:r>
      <w:r w:rsidR="00B93656">
        <w:rPr>
          <w:rFonts w:ascii="Times New Roman" w:hAnsi="Times New Roman" w:cs="Times New Roman"/>
          <w:sz w:val="24"/>
          <w:szCs w:val="24"/>
        </w:rPr>
        <w:t>)</w:t>
      </w:r>
      <w:r>
        <w:rPr>
          <w:rFonts w:ascii="Times New Roman" w:hAnsi="Times New Roman" w:cs="Times New Roman"/>
          <w:sz w:val="24"/>
          <w:szCs w:val="24"/>
        </w:rPr>
        <w:t xml:space="preserve"> </w:t>
      </w:r>
      <w:r w:rsidR="00B93656">
        <w:rPr>
          <w:rFonts w:ascii="Times New Roman" w:hAnsi="Times New Roman" w:cs="Times New Roman"/>
          <w:sz w:val="24"/>
          <w:szCs w:val="24"/>
        </w:rPr>
        <w:t xml:space="preserve">probability </w:t>
      </w:r>
      <w:r w:rsidR="00421385">
        <w:rPr>
          <w:rFonts w:ascii="Times New Roman" w:hAnsi="Times New Roman" w:cs="Times New Roman"/>
          <w:sz w:val="24"/>
          <w:szCs w:val="24"/>
        </w:rPr>
        <w:t xml:space="preserve">bars as well as </w:t>
      </w:r>
      <w:r w:rsidR="00B93656">
        <w:rPr>
          <w:rFonts w:ascii="Times New Roman" w:hAnsi="Times New Roman" w:cs="Times New Roman"/>
          <w:sz w:val="24"/>
          <w:szCs w:val="24"/>
        </w:rPr>
        <w:t>density</w:t>
      </w:r>
      <w:r>
        <w:rPr>
          <w:rFonts w:ascii="Times New Roman" w:hAnsi="Times New Roman" w:cs="Times New Roman"/>
          <w:sz w:val="24"/>
          <w:szCs w:val="24"/>
        </w:rPr>
        <w:t xml:space="preserve"> curves at the </w:t>
      </w:r>
      <w:r w:rsidR="00421385">
        <w:rPr>
          <w:rFonts w:ascii="Times New Roman" w:hAnsi="Times New Roman" w:cs="Times New Roman"/>
          <w:sz w:val="24"/>
          <w:szCs w:val="24"/>
        </w:rPr>
        <w:t xml:space="preserve">middle and </w:t>
      </w:r>
      <w:r w:rsidR="00B93656">
        <w:rPr>
          <w:rFonts w:ascii="Times New Roman" w:hAnsi="Times New Roman" w:cs="Times New Roman"/>
          <w:sz w:val="24"/>
          <w:szCs w:val="24"/>
        </w:rPr>
        <w:t>right hand side</w:t>
      </w:r>
      <w:r>
        <w:rPr>
          <w:rFonts w:ascii="Times New Roman" w:hAnsi="Times New Roman" w:cs="Times New Roman"/>
          <w:sz w:val="24"/>
          <w:szCs w:val="24"/>
        </w:rPr>
        <w:t xml:space="preserve"> column</w:t>
      </w:r>
      <w:r w:rsidR="00421385">
        <w:rPr>
          <w:rFonts w:ascii="Times New Roman" w:hAnsi="Times New Roman" w:cs="Times New Roman"/>
          <w:sz w:val="24"/>
          <w:szCs w:val="24"/>
        </w:rPr>
        <w:t>s</w:t>
      </w:r>
      <w:r>
        <w:rPr>
          <w:rFonts w:ascii="Times New Roman" w:hAnsi="Times New Roman" w:cs="Times New Roman"/>
          <w:sz w:val="24"/>
          <w:szCs w:val="24"/>
        </w:rPr>
        <w:t xml:space="preserve"> of the figure 5 can be </w:t>
      </w:r>
      <w:r w:rsidR="00421385">
        <w:rPr>
          <w:rFonts w:ascii="Times New Roman" w:hAnsi="Times New Roman" w:cs="Times New Roman"/>
          <w:sz w:val="24"/>
          <w:szCs w:val="24"/>
        </w:rPr>
        <w:t>considered to</w:t>
      </w:r>
      <w:r>
        <w:rPr>
          <w:rFonts w:ascii="Times New Roman" w:hAnsi="Times New Roman" w:cs="Times New Roman"/>
          <w:sz w:val="24"/>
          <w:szCs w:val="24"/>
        </w:rPr>
        <w:t xml:space="preserve"> compare the </w:t>
      </w:r>
      <w:r w:rsidR="004F5087" w:rsidRPr="004F5087">
        <w:rPr>
          <w:rFonts w:ascii="Times New Roman" w:hAnsi="Times New Roman" w:cs="Times New Roman"/>
          <w:i/>
          <w:iCs/>
          <w:sz w:val="24"/>
          <w:szCs w:val="24"/>
        </w:rPr>
        <w:t>efficiency</w:t>
      </w:r>
      <w:r>
        <w:rPr>
          <w:rFonts w:ascii="Times New Roman" w:hAnsi="Times New Roman" w:cs="Times New Roman"/>
          <w:sz w:val="24"/>
          <w:szCs w:val="24"/>
        </w:rPr>
        <w:t xml:space="preserve"> of </w:t>
      </w:r>
      <w:r w:rsidR="004F5087">
        <w:rPr>
          <w:rFonts w:ascii="Times New Roman" w:hAnsi="Times New Roman" w:cs="Times New Roman"/>
          <w:sz w:val="24"/>
          <w:szCs w:val="24"/>
        </w:rPr>
        <w:t xml:space="preserve">activation versus non-activation </w:t>
      </w:r>
      <w:r>
        <w:rPr>
          <w:rFonts w:ascii="Times New Roman" w:hAnsi="Times New Roman" w:cs="Times New Roman"/>
          <w:sz w:val="24"/>
          <w:szCs w:val="24"/>
        </w:rPr>
        <w:t>of the selected NPI</w:t>
      </w:r>
      <w:r w:rsidR="000E2D81">
        <w:rPr>
          <w:rFonts w:ascii="Times New Roman" w:hAnsi="Times New Roman" w:cs="Times New Roman"/>
          <w:sz w:val="24"/>
          <w:szCs w:val="24"/>
        </w:rPr>
        <w:t xml:space="preserve"> as the explanatory factor</w:t>
      </w:r>
      <w:r>
        <w:rPr>
          <w:rFonts w:ascii="Times New Roman" w:hAnsi="Times New Roman" w:cs="Times New Roman"/>
          <w:sz w:val="24"/>
          <w:szCs w:val="24"/>
        </w:rPr>
        <w:t xml:space="preserve">. </w:t>
      </w:r>
      <w:r w:rsidR="00421385">
        <w:rPr>
          <w:rFonts w:ascii="Times New Roman" w:hAnsi="Times New Roman" w:cs="Times New Roman"/>
          <w:sz w:val="24"/>
          <w:szCs w:val="24"/>
        </w:rPr>
        <w:t>Though, a</w:t>
      </w:r>
      <w:r>
        <w:rPr>
          <w:rFonts w:ascii="Times New Roman" w:hAnsi="Times New Roman" w:cs="Times New Roman"/>
          <w:sz w:val="24"/>
          <w:szCs w:val="24"/>
        </w:rPr>
        <w:t xml:space="preserve"> precise </w:t>
      </w:r>
      <w:r w:rsidR="00F8023F">
        <w:rPr>
          <w:rFonts w:ascii="Times New Roman" w:hAnsi="Times New Roman" w:cs="Times New Roman"/>
          <w:sz w:val="24"/>
          <w:szCs w:val="24"/>
        </w:rPr>
        <w:t xml:space="preserve">statistically </w:t>
      </w:r>
      <w:r>
        <w:rPr>
          <w:rFonts w:ascii="Times New Roman" w:hAnsi="Times New Roman" w:cs="Times New Roman"/>
          <w:sz w:val="24"/>
          <w:szCs w:val="24"/>
        </w:rPr>
        <w:t xml:space="preserve">comparison between the outcome of each blue </w:t>
      </w:r>
      <w:r w:rsidR="00B81334">
        <w:rPr>
          <w:rFonts w:ascii="Times New Roman" w:hAnsi="Times New Roman" w:cs="Times New Roman"/>
          <w:sz w:val="24"/>
          <w:szCs w:val="24"/>
        </w:rPr>
        <w:t>(</w:t>
      </w:r>
      <w:r>
        <w:rPr>
          <w:rFonts w:ascii="Times New Roman" w:hAnsi="Times New Roman" w:cs="Times New Roman"/>
          <w:sz w:val="24"/>
          <w:szCs w:val="24"/>
        </w:rPr>
        <w:t>positive signed</w:t>
      </w:r>
      <w:r w:rsidR="00B81334">
        <w:rPr>
          <w:rFonts w:ascii="Times New Roman" w:hAnsi="Times New Roman" w:cs="Times New Roman"/>
          <w:sz w:val="24"/>
          <w:szCs w:val="24"/>
        </w:rPr>
        <w:t>)</w:t>
      </w:r>
      <w:r>
        <w:rPr>
          <w:rFonts w:ascii="Times New Roman" w:hAnsi="Times New Roman" w:cs="Times New Roman"/>
          <w:sz w:val="24"/>
          <w:szCs w:val="24"/>
        </w:rPr>
        <w:t xml:space="preserve"> distribution </w:t>
      </w:r>
      <w:r w:rsidR="00B81334">
        <w:rPr>
          <w:rFonts w:ascii="Times New Roman" w:hAnsi="Times New Roman" w:cs="Times New Roman"/>
          <w:sz w:val="24"/>
          <w:szCs w:val="24"/>
        </w:rPr>
        <w:t>and</w:t>
      </w:r>
      <w:r>
        <w:rPr>
          <w:rFonts w:ascii="Times New Roman" w:hAnsi="Times New Roman" w:cs="Times New Roman"/>
          <w:sz w:val="24"/>
          <w:szCs w:val="24"/>
        </w:rPr>
        <w:t xml:space="preserve"> each orange </w:t>
      </w:r>
      <w:r w:rsidR="00B81334">
        <w:rPr>
          <w:rFonts w:ascii="Times New Roman" w:hAnsi="Times New Roman" w:cs="Times New Roman"/>
          <w:sz w:val="24"/>
          <w:szCs w:val="24"/>
        </w:rPr>
        <w:t>(</w:t>
      </w:r>
      <w:r>
        <w:rPr>
          <w:rFonts w:ascii="Times New Roman" w:hAnsi="Times New Roman" w:cs="Times New Roman"/>
          <w:sz w:val="24"/>
          <w:szCs w:val="24"/>
        </w:rPr>
        <w:t>negative signed</w:t>
      </w:r>
      <w:r w:rsidR="00B81334">
        <w:rPr>
          <w:rFonts w:ascii="Times New Roman" w:hAnsi="Times New Roman" w:cs="Times New Roman"/>
          <w:sz w:val="24"/>
          <w:szCs w:val="24"/>
        </w:rPr>
        <w:t>)</w:t>
      </w:r>
      <w:r>
        <w:rPr>
          <w:rFonts w:ascii="Times New Roman" w:hAnsi="Times New Roman" w:cs="Times New Roman"/>
          <w:sz w:val="24"/>
          <w:szCs w:val="24"/>
        </w:rPr>
        <w:t xml:space="preserve"> distribution, </w:t>
      </w:r>
      <w:r w:rsidR="00B81334">
        <w:rPr>
          <w:rFonts w:ascii="Times New Roman" w:hAnsi="Times New Roman" w:cs="Times New Roman"/>
          <w:sz w:val="24"/>
          <w:szCs w:val="24"/>
        </w:rPr>
        <w:t>can be</w:t>
      </w:r>
      <w:r>
        <w:rPr>
          <w:rFonts w:ascii="Times New Roman" w:hAnsi="Times New Roman" w:cs="Times New Roman"/>
          <w:sz w:val="24"/>
          <w:szCs w:val="24"/>
        </w:rPr>
        <w:t xml:space="preserve"> carried out by 1000 times sampling 1000 </w:t>
      </w:r>
      <w:r w:rsidR="00421385">
        <w:rPr>
          <w:rFonts w:ascii="Times New Roman" w:hAnsi="Times New Roman" w:cs="Times New Roman"/>
          <w:sz w:val="24"/>
          <w:szCs w:val="24"/>
        </w:rPr>
        <w:t xml:space="preserve">random </w:t>
      </w:r>
      <w:r>
        <w:rPr>
          <w:rFonts w:ascii="Times New Roman" w:hAnsi="Times New Roman" w:cs="Times New Roman"/>
          <w:sz w:val="24"/>
          <w:szCs w:val="24"/>
        </w:rPr>
        <w:t xml:space="preserve">draws from </w:t>
      </w:r>
      <w:r w:rsidR="00F8023F">
        <w:rPr>
          <w:rFonts w:ascii="Times New Roman" w:hAnsi="Times New Roman" w:cs="Times New Roman"/>
          <w:sz w:val="24"/>
          <w:szCs w:val="24"/>
        </w:rPr>
        <w:t>both</w:t>
      </w:r>
      <w:r>
        <w:rPr>
          <w:rFonts w:ascii="Times New Roman" w:hAnsi="Times New Roman" w:cs="Times New Roman"/>
          <w:sz w:val="24"/>
          <w:szCs w:val="24"/>
        </w:rPr>
        <w:t xml:space="preserve"> blue and orange distributions and </w:t>
      </w:r>
      <w:r w:rsidR="00F8023F">
        <w:rPr>
          <w:rFonts w:ascii="Times New Roman" w:hAnsi="Times New Roman" w:cs="Times New Roman"/>
          <w:sz w:val="24"/>
          <w:szCs w:val="24"/>
        </w:rPr>
        <w:t xml:space="preserve">looking </w:t>
      </w:r>
      <w:r w:rsidR="006F23A4">
        <w:rPr>
          <w:rFonts w:ascii="Times New Roman" w:hAnsi="Times New Roman" w:cs="Times New Roman"/>
          <w:sz w:val="24"/>
          <w:szCs w:val="24"/>
        </w:rPr>
        <w:t>whether</w:t>
      </w:r>
      <w:r>
        <w:rPr>
          <w:rFonts w:ascii="Times New Roman" w:hAnsi="Times New Roman" w:cs="Times New Roman"/>
          <w:sz w:val="24"/>
          <w:szCs w:val="24"/>
        </w:rPr>
        <w:t xml:space="preserve"> the probability </w:t>
      </w:r>
      <m:oMath>
        <m:sSup>
          <m:sSupPr>
            <m:ctrlPr>
              <w:rPr>
                <w:rFonts w:ascii="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+&lt;-</m:t>
            </m:r>
          </m:sup>
        </m:sSup>
      </m:oMath>
      <w:r>
        <w:rPr>
          <w:rFonts w:ascii="Times New Roman" w:hAnsi="Times New Roman" w:cs="Times New Roman"/>
          <w:sz w:val="24"/>
          <w:szCs w:val="24"/>
        </w:rPr>
        <w:t xml:space="preserve"> of </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oMath>
      <w:r>
        <w:rPr>
          <w:rFonts w:ascii="Times New Roman" w:hAnsi="Times New Roman" w:cs="Times New Roman"/>
          <w:sz w:val="24"/>
          <w:szCs w:val="24"/>
        </w:rPr>
        <w:t xml:space="preserve">s </w:t>
      </w:r>
      <w:r w:rsidR="00F8023F">
        <w:rPr>
          <w:rFonts w:ascii="Times New Roman" w:hAnsi="Times New Roman" w:cs="Times New Roman"/>
          <w:sz w:val="24"/>
          <w:szCs w:val="24"/>
        </w:rPr>
        <w:t>is</w:t>
      </w:r>
      <w:r>
        <w:rPr>
          <w:rFonts w:ascii="Times New Roman" w:hAnsi="Times New Roman" w:cs="Times New Roman"/>
          <w:sz w:val="24"/>
          <w:szCs w:val="24"/>
        </w:rPr>
        <w:t xml:space="preserve"> </w:t>
      </w:r>
      <w:r w:rsidRPr="00F8023F">
        <w:rPr>
          <w:rFonts w:ascii="Times New Roman" w:hAnsi="Times New Roman" w:cs="Times New Roman"/>
          <w:i/>
          <w:iCs/>
          <w:sz w:val="24"/>
          <w:szCs w:val="24"/>
        </w:rPr>
        <w:t>smaller</w:t>
      </w:r>
      <w:r>
        <w:rPr>
          <w:rFonts w:ascii="Times New Roman" w:hAnsi="Times New Roman" w:cs="Times New Roman"/>
          <w:sz w:val="24"/>
          <w:szCs w:val="24"/>
        </w:rPr>
        <w:t xml:space="preserve"> in the predictive (blue) distribution (representing the </w:t>
      </w:r>
      <w:r w:rsidR="008A19EF">
        <w:rPr>
          <w:rFonts w:ascii="Times New Roman" w:hAnsi="Times New Roman" w:cs="Times New Roman"/>
          <w:sz w:val="24"/>
          <w:szCs w:val="24"/>
        </w:rPr>
        <w:t>activation</w:t>
      </w:r>
      <w:r>
        <w:rPr>
          <w:rFonts w:ascii="Times New Roman" w:hAnsi="Times New Roman" w:cs="Times New Roman"/>
          <w:sz w:val="24"/>
          <w:szCs w:val="24"/>
        </w:rPr>
        <w:t xml:space="preserve"> of the </w:t>
      </w:r>
      <w:r w:rsidR="008A19EF">
        <w:rPr>
          <w:rFonts w:ascii="Times New Roman" w:hAnsi="Times New Roman" w:cs="Times New Roman"/>
          <w:sz w:val="24"/>
          <w:szCs w:val="24"/>
        </w:rPr>
        <w:t xml:space="preserve">selected </w:t>
      </w:r>
      <w:r>
        <w:rPr>
          <w:rFonts w:ascii="Times New Roman" w:hAnsi="Times New Roman" w:cs="Times New Roman"/>
          <w:sz w:val="24"/>
          <w:szCs w:val="24"/>
        </w:rPr>
        <w:t xml:space="preserve">NPI) compared to </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oMath>
      <w:r>
        <w:rPr>
          <w:rFonts w:ascii="Times New Roman" w:hAnsi="Times New Roman" w:cs="Times New Roman"/>
          <w:sz w:val="24"/>
          <w:szCs w:val="24"/>
        </w:rPr>
        <w:t>s in the predictive (orange) distribution (representing the non-</w:t>
      </w:r>
      <w:r w:rsidR="008A19EF">
        <w:rPr>
          <w:rFonts w:ascii="Times New Roman" w:hAnsi="Times New Roman" w:cs="Times New Roman"/>
          <w:sz w:val="24"/>
          <w:szCs w:val="24"/>
        </w:rPr>
        <w:t>activation</w:t>
      </w:r>
      <w:r>
        <w:rPr>
          <w:rFonts w:ascii="Times New Roman" w:hAnsi="Times New Roman" w:cs="Times New Roman"/>
          <w:sz w:val="24"/>
          <w:szCs w:val="24"/>
        </w:rPr>
        <w:t xml:space="preserve"> of the</w:t>
      </w:r>
      <w:r w:rsidR="008A19EF">
        <w:rPr>
          <w:rFonts w:ascii="Times New Roman" w:hAnsi="Times New Roman" w:cs="Times New Roman"/>
          <w:sz w:val="24"/>
          <w:szCs w:val="24"/>
        </w:rPr>
        <w:t xml:space="preserve"> selected</w:t>
      </w:r>
      <w:r>
        <w:rPr>
          <w:rFonts w:ascii="Times New Roman" w:hAnsi="Times New Roman" w:cs="Times New Roman"/>
          <w:sz w:val="24"/>
          <w:szCs w:val="24"/>
        </w:rPr>
        <w:t xml:space="preserve"> NPI)</w:t>
      </w:r>
      <w:r w:rsidR="00F8023F">
        <w:rPr>
          <w:rFonts w:ascii="Times New Roman" w:hAnsi="Times New Roman" w:cs="Times New Roman"/>
          <w:sz w:val="24"/>
          <w:szCs w:val="24"/>
        </w:rPr>
        <w:t>. In other word, e</w:t>
      </w:r>
      <w:r>
        <w:rPr>
          <w:rFonts w:ascii="Times New Roman" w:hAnsi="Times New Roman" w:cs="Times New Roman"/>
          <w:sz w:val="24"/>
          <w:szCs w:val="24"/>
        </w:rPr>
        <w:t xml:space="preserve">ach </w:t>
      </w:r>
      <w:r w:rsidR="00B81334">
        <w:rPr>
          <w:rFonts w:ascii="Times New Roman" w:hAnsi="Times New Roman" w:cs="Times New Roman"/>
          <w:sz w:val="24"/>
          <w:szCs w:val="24"/>
        </w:rPr>
        <w:t>time</w:t>
      </w:r>
      <w:r w:rsidR="00F8023F">
        <w:rPr>
          <w:rFonts w:ascii="Times New Roman" w:hAnsi="Times New Roman" w:cs="Times New Roman"/>
          <w:sz w:val="24"/>
          <w:szCs w:val="24"/>
        </w:rPr>
        <w:t xml:space="preserve"> (from 1000)</w:t>
      </w:r>
      <w:r>
        <w:rPr>
          <w:rFonts w:ascii="Times New Roman" w:hAnsi="Times New Roman" w:cs="Times New Roman"/>
          <w:sz w:val="24"/>
          <w:szCs w:val="24"/>
        </w:rPr>
        <w:t xml:space="preserve">, 1000 </w:t>
      </w:r>
      <w:r w:rsidR="00F8023F">
        <w:rPr>
          <w:rFonts w:ascii="Times New Roman" w:hAnsi="Times New Roman" w:cs="Times New Roman"/>
          <w:sz w:val="24"/>
          <w:szCs w:val="24"/>
        </w:rPr>
        <w:t xml:space="preserve">random </w:t>
      </w:r>
      <w:r>
        <w:rPr>
          <w:rFonts w:ascii="Times New Roman" w:hAnsi="Times New Roman" w:cs="Times New Roman"/>
          <w:sz w:val="24"/>
          <w:szCs w:val="24"/>
        </w:rPr>
        <w:t>draws from the positive signed trace</w:t>
      </w:r>
      <w:r w:rsidR="00035D74">
        <w:rPr>
          <w:rStyle w:val="FootnoteReference"/>
          <w:rFonts w:ascii="Times New Roman" w:hAnsi="Times New Roman" w:cs="Times New Roman"/>
          <w:sz w:val="24"/>
          <w:szCs w:val="24"/>
        </w:rPr>
        <w:footnoteReference w:id="9"/>
      </w:r>
      <w:r>
        <w:rPr>
          <w:rFonts w:ascii="Times New Roman" w:hAnsi="Times New Roman" w:cs="Times New Roman"/>
          <w:sz w:val="24"/>
          <w:szCs w:val="24"/>
        </w:rPr>
        <w:t xml:space="preserve"> distribution will </w:t>
      </w:r>
      <w:r w:rsidR="00F8023F">
        <w:rPr>
          <w:rFonts w:ascii="Times New Roman" w:hAnsi="Times New Roman" w:cs="Times New Roman"/>
          <w:sz w:val="24"/>
          <w:szCs w:val="24"/>
        </w:rPr>
        <w:t>generate</w:t>
      </w:r>
      <w:r>
        <w:rPr>
          <w:rFonts w:ascii="Times New Roman" w:hAnsi="Times New Roman" w:cs="Times New Roman"/>
          <w:sz w:val="24"/>
          <w:szCs w:val="24"/>
        </w:rPr>
        <w:t xml:space="preserve"> a list</w:t>
      </w:r>
      <w:r w:rsidR="00F8023F">
        <w:rPr>
          <w:rFonts w:ascii="Times New Roman" w:hAnsi="Times New Roman" w:cs="Times New Roman"/>
          <w:sz w:val="24"/>
          <w:szCs w:val="24"/>
        </w:rPr>
        <w:t xml:space="preserve"> of </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oMath>
      <w:r w:rsidR="00F8023F">
        <w:rPr>
          <w:rFonts w:ascii="Times New Roman" w:hAnsi="Times New Roman" w:cs="Times New Roman"/>
          <w:sz w:val="24"/>
          <w:szCs w:val="24"/>
        </w:rPr>
        <w:t>s named</w:t>
      </w:r>
      <w:r w:rsidR="00B81334">
        <w:rPr>
          <w:rFonts w:ascii="Times New Roman" w:hAnsi="Times New Roman" w:cs="Times New Roman"/>
          <w:sz w:val="24"/>
          <w:szCs w:val="24"/>
        </w:rPr>
        <w:t xml:space="preserve"> </w:t>
      </w:r>
      <m:oMath>
        <m:sSubSup>
          <m:sSubSupPr>
            <m:ctrlPr>
              <w:rPr>
                <w:rFonts w:ascii="Cambria Math" w:hAnsi="Cambria Math" w:cs="Times New Roman"/>
                <w:sz w:val="24"/>
                <w:szCs w:val="24"/>
              </w:rPr>
            </m:ctrlPr>
          </m:sSubSupPr>
          <m:e>
            <m:r>
              <m:rPr>
                <m:sty m:val="p"/>
              </m:rPr>
              <w:rPr>
                <w:rFonts w:ascii="Cambria Math" w:hAnsi="Cambria Math" w:cs="Times New Roman"/>
                <w:sz w:val="24"/>
                <w:szCs w:val="24"/>
              </w:rPr>
              <m:t>l</m:t>
            </m:r>
          </m:e>
          <m:sub>
            <m:r>
              <m:rPr>
                <m:sty m:val="p"/>
              </m:rPr>
              <w:rPr>
                <w:rFonts w:ascii="Cambria Math" w:hAnsi="Cambria Math" w:cs="Times New Roman"/>
                <w:sz w:val="24"/>
                <w:szCs w:val="24"/>
              </w:rPr>
              <m:t>σ</m:t>
            </m:r>
          </m:sub>
          <m:sup>
            <m:r>
              <m:rPr>
                <m:sty m:val="p"/>
              </m:rPr>
              <w:rPr>
                <w:rFonts w:ascii="Cambria Math" w:hAnsi="Cambria Math" w:cs="Times New Roman"/>
                <w:sz w:val="24"/>
                <w:szCs w:val="24"/>
              </w:rPr>
              <m:t>+</m:t>
            </m:r>
          </m:sup>
        </m:sSubSup>
      </m:oMath>
      <w:r w:rsidR="00B81334">
        <w:rPr>
          <w:rFonts w:ascii="Times New Roman" w:hAnsi="Times New Roman" w:cs="Times New Roman"/>
          <w:sz w:val="24"/>
          <w:szCs w:val="24"/>
        </w:rPr>
        <w:t xml:space="preserve"> </w:t>
      </w:r>
      <w:r w:rsidR="00F8023F">
        <w:rPr>
          <w:rFonts w:ascii="Times New Roman" w:hAnsi="Times New Roman" w:cs="Times New Roman"/>
          <w:sz w:val="24"/>
          <w:szCs w:val="24"/>
        </w:rPr>
        <w:t xml:space="preserve">, which is </w:t>
      </w:r>
      <w:r w:rsidR="00B81334">
        <w:rPr>
          <w:rFonts w:ascii="Times New Roman" w:hAnsi="Times New Roman" w:cs="Times New Roman"/>
          <w:sz w:val="24"/>
          <w:szCs w:val="24"/>
        </w:rPr>
        <w:t>of length 1000</w:t>
      </w:r>
      <w:r>
        <w:rPr>
          <w:rFonts w:ascii="Times New Roman" w:hAnsi="Times New Roman" w:cs="Times New Roman"/>
          <w:sz w:val="24"/>
          <w:szCs w:val="24"/>
        </w:rPr>
        <w:t xml:space="preserve">. </w:t>
      </w:r>
      <w:r w:rsidR="00F8023F">
        <w:rPr>
          <w:rFonts w:ascii="Times New Roman" w:hAnsi="Times New Roman" w:cs="Times New Roman"/>
          <w:sz w:val="24"/>
          <w:szCs w:val="24"/>
        </w:rPr>
        <w:t xml:space="preserve">Likewise, each time (from 1000) we do </w:t>
      </w:r>
      <w:r>
        <w:rPr>
          <w:rFonts w:ascii="Times New Roman" w:hAnsi="Times New Roman" w:cs="Times New Roman"/>
          <w:sz w:val="24"/>
          <w:szCs w:val="24"/>
        </w:rPr>
        <w:t xml:space="preserve">1000 </w:t>
      </w:r>
      <w:r w:rsidR="00F8023F">
        <w:rPr>
          <w:rFonts w:ascii="Times New Roman" w:hAnsi="Times New Roman" w:cs="Times New Roman"/>
          <w:sz w:val="24"/>
          <w:szCs w:val="24"/>
        </w:rPr>
        <w:t xml:space="preserve">random </w:t>
      </w:r>
      <w:r>
        <w:rPr>
          <w:rFonts w:ascii="Times New Roman" w:hAnsi="Times New Roman" w:cs="Times New Roman"/>
          <w:sz w:val="24"/>
          <w:szCs w:val="24"/>
        </w:rPr>
        <w:t>draws from the negative signed trace</w:t>
      </w:r>
      <w:r w:rsidR="00035D74">
        <w:rPr>
          <w:rStyle w:val="FootnoteReference"/>
          <w:rFonts w:ascii="Times New Roman" w:hAnsi="Times New Roman" w:cs="Times New Roman"/>
          <w:sz w:val="24"/>
          <w:szCs w:val="24"/>
        </w:rPr>
        <w:footnoteReference w:id="10"/>
      </w:r>
      <w:r>
        <w:rPr>
          <w:rFonts w:ascii="Times New Roman" w:hAnsi="Times New Roman" w:cs="Times New Roman"/>
          <w:sz w:val="24"/>
          <w:szCs w:val="24"/>
        </w:rPr>
        <w:t xml:space="preserve"> distribution</w:t>
      </w:r>
      <w:r w:rsidR="007806D7">
        <w:rPr>
          <w:rFonts w:ascii="Times New Roman" w:hAnsi="Times New Roman" w:cs="Times New Roman"/>
          <w:sz w:val="24"/>
          <w:szCs w:val="24"/>
        </w:rPr>
        <w:t xml:space="preserve"> </w:t>
      </w:r>
      <w:r w:rsidR="007806D7">
        <w:rPr>
          <w:rFonts w:ascii="Times New Roman" w:hAnsi="Times New Roman" w:cs="Times New Roman"/>
          <w:sz w:val="24"/>
          <w:szCs w:val="24"/>
        </w:rPr>
        <w:t>and generate</w:t>
      </w:r>
      <w:r w:rsidR="007806D7">
        <w:rPr>
          <w:rFonts w:ascii="Times New Roman" w:hAnsi="Times New Roman" w:cs="Times New Roman"/>
          <w:sz w:val="24"/>
          <w:szCs w:val="24"/>
        </w:rPr>
        <w:t xml:space="preserve"> </w:t>
      </w:r>
      <w:r w:rsidR="007806D7">
        <w:rPr>
          <w:rFonts w:ascii="Times New Roman" w:hAnsi="Times New Roman" w:cs="Times New Roman"/>
          <w:sz w:val="24"/>
          <w:szCs w:val="24"/>
        </w:rPr>
        <w:t>a list</w:t>
      </w:r>
      <w:r w:rsidR="007806D7">
        <w:rPr>
          <w:rFonts w:ascii="Times New Roman" w:hAnsi="Times New Roman" w:cs="Times New Roman"/>
          <w:sz w:val="24"/>
          <w:szCs w:val="24"/>
        </w:rPr>
        <w:t xml:space="preserve"> </w:t>
      </w:r>
      <w:r w:rsidR="00F8023F">
        <w:rPr>
          <w:rFonts w:ascii="Times New Roman" w:hAnsi="Times New Roman" w:cs="Times New Roman"/>
          <w:sz w:val="24"/>
          <w:szCs w:val="24"/>
        </w:rPr>
        <w:t xml:space="preserve">of </w:t>
      </w:r>
      <m:oMath>
        <m:sSub>
          <m:sSubPr>
            <m:ctrlPr>
              <w:rPr>
                <w:rFonts w:ascii="Cambria Math" w:hAnsi="Cambria Math" w:cs="Times New Roman"/>
                <w:sz w:val="24"/>
                <w:szCs w:val="24"/>
              </w:rPr>
            </m:ctrlPr>
          </m:sSubPr>
          <m:e>
            <m:r>
              <m:rPr>
                <m:sty m:val="p"/>
              </m:rPr>
              <w:rPr>
                <w:rFonts w:ascii="Cambria Math" w:hAnsi="Cambria Math" w:cs="Times New Roman"/>
                <w:sz w:val="24"/>
                <w:szCs w:val="24"/>
              </w:rPr>
              <m:t>∂</m:t>
            </m:r>
          </m:e>
          <m:sub>
            <m:r>
              <m:rPr>
                <m:sty m:val="p"/>
              </m:rPr>
              <w:rPr>
                <w:rFonts w:ascii="Cambria Math" w:hAnsi="Cambria Math" w:cs="Times New Roman"/>
                <w:sz w:val="24"/>
                <w:szCs w:val="24"/>
              </w:rPr>
              <m:t>i</m:t>
            </m:r>
          </m:sub>
        </m:sSub>
      </m:oMath>
      <w:r w:rsidR="00F8023F">
        <w:rPr>
          <w:rFonts w:ascii="Times New Roman" w:hAnsi="Times New Roman" w:cs="Times New Roman"/>
          <w:sz w:val="24"/>
          <w:szCs w:val="24"/>
        </w:rPr>
        <w:t>s named</w:t>
      </w:r>
      <w:r w:rsidR="00B81334">
        <w:rPr>
          <w:rFonts w:ascii="Times New Roman" w:hAnsi="Times New Roman" w:cs="Times New Roman"/>
          <w:sz w:val="24"/>
          <w:szCs w:val="24"/>
        </w:rPr>
        <w:t xml:space="preserve"> </w:t>
      </w:r>
      <m:oMath>
        <m:sSubSup>
          <m:sSubSupPr>
            <m:ctrlPr>
              <w:rPr>
                <w:rFonts w:ascii="Cambria Math" w:hAnsi="Cambria Math" w:cs="Times New Roman"/>
                <w:sz w:val="24"/>
                <w:szCs w:val="24"/>
              </w:rPr>
            </m:ctrlPr>
          </m:sSubSupPr>
          <m:e>
            <m:r>
              <m:rPr>
                <m:sty m:val="p"/>
              </m:rPr>
              <w:rPr>
                <w:rFonts w:ascii="Cambria Math" w:hAnsi="Cambria Math" w:cs="Times New Roman"/>
                <w:sz w:val="24"/>
                <w:szCs w:val="24"/>
              </w:rPr>
              <m:t>l</m:t>
            </m:r>
          </m:e>
          <m:sub>
            <m:r>
              <m:rPr>
                <m:sty m:val="p"/>
              </m:rPr>
              <w:rPr>
                <w:rFonts w:ascii="Cambria Math" w:hAnsi="Cambria Math" w:cs="Times New Roman"/>
                <w:sz w:val="24"/>
                <w:szCs w:val="24"/>
              </w:rPr>
              <m:t>σ</m:t>
            </m:r>
          </m:sub>
          <m:sup>
            <m:r>
              <m:rPr>
                <m:sty m:val="p"/>
              </m:rPr>
              <w:rPr>
                <w:rFonts w:ascii="Cambria Math" w:hAnsi="Cambria Math" w:cs="Times New Roman"/>
                <w:sz w:val="24"/>
                <w:szCs w:val="24"/>
              </w:rPr>
              <m:t>-</m:t>
            </m:r>
          </m:sup>
        </m:sSubSup>
      </m:oMath>
      <w:r w:rsidR="00F8023F">
        <w:rPr>
          <w:rFonts w:ascii="Times New Roman" w:hAnsi="Times New Roman" w:cs="Times New Roman"/>
          <w:sz w:val="24"/>
          <w:szCs w:val="24"/>
        </w:rPr>
        <w:t xml:space="preserve">, which is of length </w:t>
      </w:r>
      <w:r w:rsidR="00B81334">
        <w:rPr>
          <w:rFonts w:ascii="Times New Roman" w:hAnsi="Times New Roman" w:cs="Times New Roman"/>
          <w:sz w:val="24"/>
          <w:szCs w:val="24"/>
        </w:rPr>
        <w:t>1000</w:t>
      </w:r>
      <w:r>
        <w:rPr>
          <w:rFonts w:ascii="Times New Roman" w:hAnsi="Times New Roman" w:cs="Times New Roman"/>
          <w:sz w:val="24"/>
          <w:szCs w:val="24"/>
        </w:rPr>
        <w:t xml:space="preserve">. Then, the efficiency ratio expressed in equation 5, becomes resulted from the comparison of each positional element </w:t>
      </w:r>
      <w:proofErr w:type="spellStart"/>
      <w:r w:rsidR="007806D7" w:rsidRPr="007806D7">
        <w:rPr>
          <w:rFonts w:ascii="Times New Roman" w:hAnsi="Times New Roman" w:cs="Times New Roman"/>
          <w:i/>
          <w:iCs/>
          <w:sz w:val="24"/>
          <w:szCs w:val="24"/>
        </w:rPr>
        <w:t>i</w:t>
      </w:r>
      <w:proofErr w:type="spellEnd"/>
      <w:r w:rsidR="007806D7">
        <w:rPr>
          <w:rFonts w:ascii="Times New Roman" w:hAnsi="Times New Roman" w:cs="Times New Roman"/>
          <w:sz w:val="24"/>
          <w:szCs w:val="24"/>
        </w:rPr>
        <w:t xml:space="preserve"> </w:t>
      </w:r>
      <w:r>
        <w:rPr>
          <w:rFonts w:ascii="Times New Roman" w:hAnsi="Times New Roman" w:cs="Times New Roman"/>
          <w:sz w:val="24"/>
          <w:szCs w:val="24"/>
        </w:rPr>
        <w:t xml:space="preserve">of </w:t>
      </w:r>
      <w:r w:rsidR="00F8023F">
        <w:rPr>
          <w:rFonts w:ascii="Times New Roman" w:hAnsi="Times New Roman" w:cs="Times New Roman"/>
          <w:sz w:val="24"/>
          <w:szCs w:val="24"/>
        </w:rPr>
        <w:t>the</w:t>
      </w:r>
      <w:r w:rsidR="007806D7">
        <w:rPr>
          <w:rFonts w:ascii="Times New Roman" w:hAnsi="Times New Roman" w:cs="Times New Roman"/>
          <w:sz w:val="24"/>
          <w:szCs w:val="24"/>
        </w:rPr>
        <w:t xml:space="preserve"> above mentioned</w:t>
      </w:r>
      <w:r w:rsidR="00F8023F">
        <w:rPr>
          <w:rFonts w:ascii="Times New Roman" w:hAnsi="Times New Roman" w:cs="Times New Roman"/>
          <w:sz w:val="24"/>
          <w:szCs w:val="24"/>
        </w:rPr>
        <w:t xml:space="preserve"> </w:t>
      </w:r>
      <w:r>
        <w:rPr>
          <w:rFonts w:ascii="Times New Roman" w:hAnsi="Times New Roman" w:cs="Times New Roman"/>
          <w:sz w:val="24"/>
          <w:szCs w:val="24"/>
        </w:rPr>
        <w:t xml:space="preserve">two </w:t>
      </w:r>
      <w:r w:rsidR="00F8023F">
        <w:rPr>
          <w:rFonts w:ascii="Times New Roman" w:hAnsi="Times New Roman" w:cs="Times New Roman"/>
          <w:sz w:val="24"/>
          <w:szCs w:val="24"/>
        </w:rPr>
        <w:t xml:space="preserve">generated </w:t>
      </w:r>
      <w:r>
        <w:rPr>
          <w:rFonts w:ascii="Times New Roman" w:hAnsi="Times New Roman" w:cs="Times New Roman"/>
          <w:sz w:val="24"/>
          <w:szCs w:val="24"/>
        </w:rPr>
        <w:t>list</w:t>
      </w:r>
      <w:r w:rsidR="00F8023F">
        <w:rPr>
          <w:rFonts w:ascii="Times New Roman" w:hAnsi="Times New Roman" w:cs="Times New Roman"/>
          <w:sz w:val="24"/>
          <w:szCs w:val="24"/>
        </w:rPr>
        <w:t xml:space="preserve">s </w:t>
      </w:r>
      <m:oMath>
        <m:sSubSup>
          <m:sSubSupPr>
            <m:ctrlPr>
              <w:rPr>
                <w:rFonts w:ascii="Cambria Math" w:hAnsi="Cambria Math" w:cs="Times New Roman"/>
                <w:sz w:val="24"/>
                <w:szCs w:val="24"/>
              </w:rPr>
            </m:ctrlPr>
          </m:sSubSupPr>
          <m:e>
            <m:r>
              <m:rPr>
                <m:sty m:val="p"/>
              </m:rPr>
              <w:rPr>
                <w:rFonts w:ascii="Cambria Math" w:hAnsi="Cambria Math" w:cs="Times New Roman"/>
                <w:sz w:val="24"/>
                <w:szCs w:val="24"/>
              </w:rPr>
              <m:t>l</m:t>
            </m:r>
          </m:e>
          <m:sub>
            <m:r>
              <m:rPr>
                <m:sty m:val="p"/>
              </m:rPr>
              <w:rPr>
                <w:rFonts w:ascii="Cambria Math" w:hAnsi="Cambria Math" w:cs="Times New Roman"/>
                <w:sz w:val="24"/>
                <w:szCs w:val="24"/>
              </w:rPr>
              <m:t>σ</m:t>
            </m:r>
          </m:sub>
          <m:sup>
            <m:r>
              <m:rPr>
                <m:sty m:val="p"/>
              </m:rPr>
              <w:rPr>
                <w:rFonts w:ascii="Cambria Math" w:hAnsi="Cambria Math" w:cs="Times New Roman"/>
                <w:sz w:val="24"/>
                <w:szCs w:val="24"/>
              </w:rPr>
              <m:t>+</m:t>
            </m:r>
          </m:sup>
        </m:sSubSup>
        <m:d>
          <m:dPr>
            <m:ctrlPr>
              <w:rPr>
                <w:rFonts w:ascii="Cambria Math" w:hAnsi="Cambria Math" w:cs="Times New Roman"/>
                <w:sz w:val="24"/>
                <w:szCs w:val="24"/>
              </w:rPr>
            </m:ctrlPr>
          </m:dPr>
          <m:e>
            <m:r>
              <m:rPr>
                <m:sty m:val="p"/>
              </m:rPr>
              <w:rPr>
                <w:rFonts w:ascii="Cambria Math" w:hAnsi="Cambria Math" w:cs="Times New Roman"/>
                <w:sz w:val="24"/>
                <w:szCs w:val="24"/>
              </w:rPr>
              <m:t>i</m:t>
            </m:r>
          </m:e>
        </m:d>
        <m:r>
          <m:rPr>
            <m:sty m:val="p"/>
          </m:rPr>
          <w:rPr>
            <w:rFonts w:ascii="Cambria Math" w:hAnsi="Cambria Math" w:cs="Times New Roman"/>
            <w:sz w:val="24"/>
            <w:szCs w:val="24"/>
          </w:rPr>
          <m:t>&lt;</m:t>
        </m:r>
        <m:sSubSup>
          <m:sSubSupPr>
            <m:ctrlPr>
              <w:rPr>
                <w:rFonts w:ascii="Cambria Math" w:hAnsi="Cambria Math" w:cs="Times New Roman"/>
                <w:sz w:val="24"/>
                <w:szCs w:val="24"/>
              </w:rPr>
            </m:ctrlPr>
          </m:sSubSupPr>
          <m:e>
            <m:r>
              <m:rPr>
                <m:sty m:val="p"/>
              </m:rPr>
              <w:rPr>
                <w:rFonts w:ascii="Cambria Math" w:hAnsi="Cambria Math" w:cs="Times New Roman"/>
                <w:sz w:val="24"/>
                <w:szCs w:val="24"/>
              </w:rPr>
              <m:t>l</m:t>
            </m:r>
          </m:e>
          <m:sub>
            <m:r>
              <m:rPr>
                <m:sty m:val="p"/>
              </m:rPr>
              <w:rPr>
                <w:rFonts w:ascii="Cambria Math" w:hAnsi="Cambria Math" w:cs="Times New Roman"/>
                <w:sz w:val="24"/>
                <w:szCs w:val="24"/>
              </w:rPr>
              <m:t>σ</m:t>
            </m:r>
          </m:sub>
          <m:sup>
            <m:r>
              <m:rPr>
                <m:sty m:val="p"/>
              </m:rPr>
              <w:rPr>
                <w:rFonts w:ascii="Cambria Math" w:hAnsi="Cambria Math" w:cs="Times New Roman"/>
                <w:sz w:val="24"/>
                <w:szCs w:val="24"/>
              </w:rPr>
              <m:t>-</m:t>
            </m:r>
          </m:sup>
        </m:sSubSup>
        <m:d>
          <m:dPr>
            <m:ctrlPr>
              <w:rPr>
                <w:rFonts w:ascii="Cambria Math" w:hAnsi="Cambria Math" w:cs="Times New Roman"/>
                <w:sz w:val="24"/>
                <w:szCs w:val="24"/>
              </w:rPr>
            </m:ctrlPr>
          </m:dPr>
          <m:e>
            <m:r>
              <m:rPr>
                <m:sty m:val="p"/>
              </m:rPr>
              <w:rPr>
                <w:rFonts w:ascii="Cambria Math" w:hAnsi="Cambria Math" w:cs="Times New Roman"/>
                <w:sz w:val="24"/>
                <w:szCs w:val="24"/>
              </w:rPr>
              <m:t>i</m:t>
            </m:r>
          </m:e>
        </m:d>
      </m:oMath>
      <w:r w:rsidR="00F8023F">
        <w:rPr>
          <w:rFonts w:ascii="Times New Roman" w:hAnsi="Times New Roman" w:cs="Times New Roman"/>
          <w:sz w:val="24"/>
          <w:szCs w:val="24"/>
        </w:rPr>
        <w:t>, which becomes 1 if true and 0 if false in equation 5.</w:t>
      </w:r>
    </w:p>
    <w:p w:rsidR="008A6B28" w:rsidRDefault="00DF2F8E">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 </w:t>
      </w:r>
      <m:oMath>
        <m:sSup>
          <m:sSupPr>
            <m:ctrlPr>
              <w:rPr>
                <w:rFonts w:ascii="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+&lt;-</m:t>
            </m:r>
          </m:sup>
        </m:sSup>
        <m:r>
          <m:rPr>
            <m:sty m:val="p"/>
          </m:rPr>
          <w:rPr>
            <w:rFonts w:ascii="Cambria Math" w:hAnsi="Cambria Math" w:cs="Times New Roman"/>
            <w:sz w:val="24"/>
            <w:szCs w:val="24"/>
          </w:rPr>
          <m:t>=</m:t>
        </m:r>
        <m:f>
          <m:fPr>
            <m:ctrlPr>
              <w:rPr>
                <w:rFonts w:ascii="Cambria Math" w:hAnsi="Cambria Math" w:cs="Times New Roman"/>
                <w:sz w:val="24"/>
                <w:szCs w:val="24"/>
              </w:rPr>
            </m:ctrlPr>
          </m:fPr>
          <m:num>
            <m:nary>
              <m:naryPr>
                <m:chr m:val="∑"/>
                <m:limLoc m:val="undOvr"/>
                <m:ctrlPr>
                  <w:rPr>
                    <w:rFonts w:ascii="Cambria Math" w:hAnsi="Cambria Math" w:cs="Times New Roman"/>
                    <w:sz w:val="24"/>
                    <w:szCs w:val="24"/>
                  </w:rPr>
                </m:ctrlPr>
              </m:naryPr>
              <m:sub>
                <m:r>
                  <m:rPr>
                    <m:sty m:val="p"/>
                  </m:rPr>
                  <w:rPr>
                    <w:rFonts w:ascii="Cambria Math" w:hAnsi="Cambria Math" w:cs="Times New Roman"/>
                    <w:sz w:val="24"/>
                    <w:szCs w:val="24"/>
                  </w:rPr>
                  <m:t>i=0</m:t>
                </m:r>
              </m:sub>
              <m:sup>
                <m:r>
                  <m:rPr>
                    <m:sty m:val="p"/>
                  </m:rPr>
                  <w:rPr>
                    <w:rFonts w:ascii="Cambria Math" w:hAnsi="Cambria Math" w:cs="Times New Roman"/>
                    <w:sz w:val="24"/>
                    <w:szCs w:val="24"/>
                  </w:rPr>
                  <m:t>1000-1</m:t>
                </m:r>
              </m:sup>
              <m:e>
                <m:r>
                  <w:rPr>
                    <w:rFonts w:ascii="Cambria Math" w:hAnsi="Cambria Math" w:cs="Times New Roman"/>
                    <w:sz w:val="24"/>
                    <w:szCs w:val="24"/>
                  </w:rPr>
                  <m:t>{</m:t>
                </m:r>
                <m:sSubSup>
                  <m:sSubSupPr>
                    <m:ctrlPr>
                      <w:rPr>
                        <w:rFonts w:ascii="Cambria Math" w:hAnsi="Cambria Math" w:cs="Times New Roman"/>
                        <w:sz w:val="24"/>
                        <w:szCs w:val="24"/>
                      </w:rPr>
                    </m:ctrlPr>
                  </m:sSubSupPr>
                  <m:e>
                    <m:r>
                      <m:rPr>
                        <m:sty m:val="p"/>
                      </m:rPr>
                      <w:rPr>
                        <w:rFonts w:ascii="Cambria Math" w:hAnsi="Cambria Math" w:cs="Times New Roman"/>
                        <w:sz w:val="24"/>
                        <w:szCs w:val="24"/>
                      </w:rPr>
                      <m:t>l</m:t>
                    </m:r>
                  </m:e>
                  <m:sub>
                    <m:r>
                      <m:rPr>
                        <m:sty m:val="p"/>
                      </m:rPr>
                      <w:rPr>
                        <w:rFonts w:ascii="Cambria Math" w:hAnsi="Cambria Math" w:cs="Times New Roman"/>
                        <w:sz w:val="24"/>
                        <w:szCs w:val="24"/>
                      </w:rPr>
                      <m:t>σ</m:t>
                    </m:r>
                  </m:sub>
                  <m:sup>
                    <m:r>
                      <m:rPr>
                        <m:sty m:val="p"/>
                      </m:rPr>
                      <w:rPr>
                        <w:rFonts w:ascii="Cambria Math" w:hAnsi="Cambria Math" w:cs="Times New Roman"/>
                        <w:sz w:val="24"/>
                        <w:szCs w:val="24"/>
                      </w:rPr>
                      <m:t>+</m:t>
                    </m:r>
                  </m:sup>
                </m:sSubSup>
                <m:d>
                  <m:dPr>
                    <m:ctrlPr>
                      <w:rPr>
                        <w:rFonts w:ascii="Cambria Math" w:hAnsi="Cambria Math" w:cs="Times New Roman"/>
                        <w:sz w:val="24"/>
                        <w:szCs w:val="24"/>
                      </w:rPr>
                    </m:ctrlPr>
                  </m:dPr>
                  <m:e>
                    <m:r>
                      <m:rPr>
                        <m:sty m:val="p"/>
                      </m:rPr>
                      <w:rPr>
                        <w:rFonts w:ascii="Cambria Math" w:hAnsi="Cambria Math" w:cs="Times New Roman"/>
                        <w:sz w:val="24"/>
                        <w:szCs w:val="24"/>
                      </w:rPr>
                      <m:t>i</m:t>
                    </m:r>
                  </m:e>
                </m:d>
                <m:r>
                  <m:rPr>
                    <m:sty m:val="p"/>
                  </m:rPr>
                  <w:rPr>
                    <w:rFonts w:ascii="Cambria Math" w:hAnsi="Cambria Math" w:cs="Times New Roman"/>
                    <w:sz w:val="24"/>
                    <w:szCs w:val="24"/>
                  </w:rPr>
                  <m:t>&lt;</m:t>
                </m:r>
                <m:sSubSup>
                  <m:sSubSupPr>
                    <m:ctrlPr>
                      <w:rPr>
                        <w:rFonts w:ascii="Cambria Math" w:hAnsi="Cambria Math" w:cs="Times New Roman"/>
                        <w:sz w:val="24"/>
                        <w:szCs w:val="24"/>
                      </w:rPr>
                    </m:ctrlPr>
                  </m:sSubSupPr>
                  <m:e>
                    <m:r>
                      <m:rPr>
                        <m:sty m:val="p"/>
                      </m:rPr>
                      <w:rPr>
                        <w:rFonts w:ascii="Cambria Math" w:hAnsi="Cambria Math" w:cs="Times New Roman"/>
                        <w:sz w:val="24"/>
                        <w:szCs w:val="24"/>
                      </w:rPr>
                      <m:t>l</m:t>
                    </m:r>
                  </m:e>
                  <m:sub>
                    <m:r>
                      <m:rPr>
                        <m:sty m:val="p"/>
                      </m:rPr>
                      <w:rPr>
                        <w:rFonts w:ascii="Cambria Math" w:hAnsi="Cambria Math" w:cs="Times New Roman"/>
                        <w:sz w:val="24"/>
                        <w:szCs w:val="24"/>
                      </w:rPr>
                      <m:t>σ</m:t>
                    </m:r>
                  </m:sub>
                  <m:sup>
                    <m:r>
                      <m:rPr>
                        <m:sty m:val="p"/>
                      </m:rPr>
                      <w:rPr>
                        <w:rFonts w:ascii="Cambria Math" w:hAnsi="Cambria Math" w:cs="Times New Roman"/>
                        <w:sz w:val="24"/>
                        <w:szCs w:val="24"/>
                      </w:rPr>
                      <m:t>-</m:t>
                    </m:r>
                  </m:sup>
                </m:sSubSup>
                <m:d>
                  <m:dPr>
                    <m:ctrlPr>
                      <w:rPr>
                        <w:rFonts w:ascii="Cambria Math" w:hAnsi="Cambria Math" w:cs="Times New Roman"/>
                        <w:sz w:val="24"/>
                        <w:szCs w:val="24"/>
                      </w:rPr>
                    </m:ctrlPr>
                  </m:dPr>
                  <m:e>
                    <m:r>
                      <m:rPr>
                        <m:sty m:val="p"/>
                      </m:rPr>
                      <w:rPr>
                        <w:rFonts w:ascii="Cambria Math" w:hAnsi="Cambria Math" w:cs="Times New Roman"/>
                        <w:sz w:val="24"/>
                        <w:szCs w:val="24"/>
                      </w:rPr>
                      <m:t>i</m:t>
                    </m:r>
                  </m:e>
                </m:d>
                <m:r>
                  <w:rPr>
                    <w:rFonts w:ascii="Cambria Math" w:hAnsi="Cambria Math" w:cs="Times New Roman"/>
                    <w:sz w:val="24"/>
                    <w:szCs w:val="24"/>
                  </w:rPr>
                  <m:t>}</m:t>
                </m:r>
              </m:e>
            </m:nary>
          </m:num>
          <m:den>
            <m:r>
              <m:rPr>
                <m:sty m:val="p"/>
              </m:rPr>
              <w:rPr>
                <w:rFonts w:ascii="Cambria Math" w:hAnsi="Cambria Math" w:cs="Times New Roman"/>
                <w:sz w:val="24"/>
                <w:szCs w:val="24"/>
              </w:rPr>
              <m:t>1000</m:t>
            </m:r>
          </m:den>
        </m:f>
      </m:oMath>
      <w:r>
        <w:rPr>
          <w:rFonts w:ascii="Times New Roman" w:hAnsi="Times New Roman" w:cs="Times New Roman"/>
          <w:sz w:val="24"/>
          <w:szCs w:val="24"/>
        </w:rPr>
        <w:t xml:space="preserve">                                                                                                                 (5)</w:t>
      </w:r>
    </w:p>
    <w:p w:rsidR="008A6B28" w:rsidRDefault="00C62AC5" w:rsidP="00C62AC5">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It is furthermore worth noting that based on the definition, the explanatory variables with efficiency values larger than 50 percent can be labeled as </w:t>
      </w:r>
      <w:r w:rsidRPr="00C62AC5">
        <w:rPr>
          <w:rFonts w:ascii="Times New Roman" w:hAnsi="Times New Roman" w:cs="Times New Roman"/>
          <w:i/>
          <w:iCs/>
          <w:sz w:val="24"/>
          <w:szCs w:val="24"/>
        </w:rPr>
        <w:t>effective</w:t>
      </w:r>
      <w:r>
        <w:rPr>
          <w:rFonts w:ascii="Times New Roman" w:hAnsi="Times New Roman" w:cs="Times New Roman"/>
          <w:sz w:val="24"/>
          <w:szCs w:val="24"/>
        </w:rPr>
        <w:t xml:space="preserve"> with regard to the pandemic </w:t>
      </w:r>
      <w:r w:rsidRPr="00C62AC5">
        <w:rPr>
          <w:rFonts w:ascii="Times New Roman" w:hAnsi="Times New Roman" w:cs="Times New Roman"/>
          <w:i/>
          <w:iCs/>
          <w:sz w:val="24"/>
          <w:szCs w:val="24"/>
        </w:rPr>
        <w:t>control</w:t>
      </w:r>
      <w:r>
        <w:rPr>
          <w:rFonts w:ascii="Times New Roman" w:hAnsi="Times New Roman" w:cs="Times New Roman"/>
          <w:sz w:val="24"/>
          <w:szCs w:val="24"/>
        </w:rPr>
        <w:t xml:space="preserve">. Analogously, the efficiency values smaller than 50 percent, however can be labeled as </w:t>
      </w:r>
      <w:r w:rsidRPr="00C62AC5">
        <w:rPr>
          <w:rFonts w:ascii="Times New Roman" w:hAnsi="Times New Roman" w:cs="Times New Roman"/>
          <w:i/>
          <w:iCs/>
          <w:sz w:val="24"/>
          <w:szCs w:val="24"/>
        </w:rPr>
        <w:t>effective</w:t>
      </w:r>
      <w:r>
        <w:rPr>
          <w:rFonts w:ascii="Times New Roman" w:hAnsi="Times New Roman" w:cs="Times New Roman"/>
          <w:sz w:val="24"/>
          <w:szCs w:val="24"/>
        </w:rPr>
        <w:t xml:space="preserve"> with regard to the pandemic </w:t>
      </w:r>
      <w:r w:rsidRPr="00C62AC5">
        <w:rPr>
          <w:rFonts w:ascii="Times New Roman" w:hAnsi="Times New Roman" w:cs="Times New Roman"/>
          <w:i/>
          <w:iCs/>
          <w:sz w:val="24"/>
          <w:szCs w:val="24"/>
        </w:rPr>
        <w:t>progression</w:t>
      </w:r>
      <w:r>
        <w:rPr>
          <w:rFonts w:ascii="Times New Roman" w:hAnsi="Times New Roman" w:cs="Times New Roman"/>
          <w:sz w:val="24"/>
          <w:szCs w:val="24"/>
        </w:rPr>
        <w:t xml:space="preserve">.  </w:t>
      </w:r>
      <w:r w:rsidR="00DF2F8E">
        <w:rPr>
          <w:rFonts w:ascii="Times New Roman" w:hAnsi="Times New Roman" w:cs="Times New Roman"/>
          <w:sz w:val="24"/>
          <w:szCs w:val="24"/>
        </w:rPr>
        <w:t xml:space="preserve">The histogram of </w:t>
      </w:r>
      <w:r w:rsidR="00F8023F">
        <w:rPr>
          <w:rFonts w:ascii="Times New Roman" w:hAnsi="Times New Roman" w:cs="Times New Roman"/>
          <w:sz w:val="24"/>
          <w:szCs w:val="24"/>
        </w:rPr>
        <w:t>the obtained 1000 computed efficiencies</w:t>
      </w:r>
      <w:r w:rsidR="00DF2F8E">
        <w:rPr>
          <w:rFonts w:ascii="Times New Roman" w:hAnsi="Times New Roman" w:cs="Times New Roman"/>
          <w:sz w:val="24"/>
          <w:szCs w:val="24"/>
        </w:rPr>
        <w:t xml:space="preserve"> </w:t>
      </w:r>
      <m:oMath>
        <m:sSup>
          <m:sSupPr>
            <m:ctrlPr>
              <w:rPr>
                <w:rFonts w:ascii="Cambria Math" w:hAnsi="Cambria Math" w:cs="Times New Roman"/>
                <w:i/>
                <w:iCs/>
                <w:sz w:val="24"/>
                <w:szCs w:val="24"/>
              </w:rPr>
            </m:ctrlPr>
          </m:sSupPr>
          <m:e>
            <m:r>
              <w:rPr>
                <w:rFonts w:ascii="Cambria Math" w:hAnsi="Cambria Math" w:cs="Times New Roman"/>
                <w:sz w:val="24"/>
                <w:szCs w:val="24"/>
              </w:rPr>
              <m:t>e</m:t>
            </m:r>
          </m:e>
          <m:sup>
            <m:r>
              <w:rPr>
                <w:rFonts w:ascii="Cambria Math" w:hAnsi="Cambria Math" w:cs="Times New Roman"/>
                <w:sz w:val="24"/>
                <w:szCs w:val="24"/>
              </w:rPr>
              <m:t>+&lt;-</m:t>
            </m:r>
          </m:sup>
        </m:sSup>
      </m:oMath>
      <w:r w:rsidR="00DF2F8E">
        <w:rPr>
          <w:rFonts w:ascii="Times New Roman" w:hAnsi="Times New Roman" w:cs="Times New Roman"/>
          <w:sz w:val="24"/>
          <w:szCs w:val="24"/>
        </w:rPr>
        <w:t xml:space="preserve">‘s </w:t>
      </w:r>
      <w:r w:rsidR="004F7D7A">
        <w:rPr>
          <w:rFonts w:ascii="Times New Roman" w:hAnsi="Times New Roman" w:cs="Times New Roman"/>
          <w:sz w:val="24"/>
          <w:szCs w:val="24"/>
        </w:rPr>
        <w:t xml:space="preserve">for the countries of figure 5 </w:t>
      </w:r>
      <w:r w:rsidR="00DF2F8E">
        <w:rPr>
          <w:rFonts w:ascii="Times New Roman" w:hAnsi="Times New Roman" w:cs="Times New Roman"/>
          <w:sz w:val="24"/>
          <w:szCs w:val="24"/>
        </w:rPr>
        <w:t>is depicted in figure 6.</w:t>
      </w:r>
    </w:p>
    <w:p w:rsidR="008A6B28" w:rsidRDefault="00DF2F8E">
      <w:pPr>
        <w:keepNext/>
        <w:spacing w:line="360" w:lineRule="auto"/>
        <w:jc w:val="both"/>
        <w:rPr>
          <w:rFonts w:ascii="Times New Roman" w:hAnsi="Times New Roman" w:cs="Times New Roman"/>
          <w:sz w:val="24"/>
          <w:szCs w:val="24"/>
        </w:rPr>
      </w:pPr>
      <w:r>
        <w:rPr>
          <w:rFonts w:ascii="Times New Roman" w:hAnsi="Times New Roman" w:cs="Times New Roman"/>
          <w:noProof/>
          <w:sz w:val="24"/>
          <w:szCs w:val="24"/>
        </w:rPr>
        <w:lastRenderedPageBreak/>
        <mc:AlternateContent>
          <mc:Choice Requires="wpg">
            <w:drawing>
              <wp:inline distT="0" distB="0" distL="0" distR="0">
                <wp:extent cx="5935980" cy="4442460"/>
                <wp:effectExtent l="0" t="0" r="7620" b="0"/>
                <wp:docPr id="5"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pic:cNvPicPr>
                          <a:picLocks noChangeAspect="1"/>
                        </pic:cNvPicPr>
                      </pic:nvPicPr>
                      <pic:blipFill>
                        <a:blip r:embed="rId27"/>
                        <a:stretch/>
                      </pic:blipFill>
                      <pic:spPr bwMode="auto">
                        <a:xfrm>
                          <a:off x="0" y="0"/>
                          <a:ext cx="5935980" cy="4442460"/>
                        </a:xfrm>
                        <a:prstGeom prst="rect">
                          <a:avLst/>
                        </a:prstGeom>
                        <a:noFill/>
                        <a:ln>
                          <a:noFill/>
                        </a:ln>
                      </pic:spPr>
                    </pic:pic>
                  </a:graphicData>
                </a:graphic>
              </wp:inline>
            </w:drawing>
          </mc:Choice>
          <mc:Fallback xmlns:a="http://schemas.openxmlformats.org/drawingml/2006/main">
            <w:pict>
              <v:shapetype type="#_x0000_t75" o:spt="75" coordsize="21600,21600" o:preferrelative="t" path="m@4@5l@4@11@9@11@9@5xe">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shapetype>
              <v:shape id="_x0000_i4" o:spid="_x0000_s4" type="#_x0000_t75" style="mso-wrap-distance-left:0.0pt;mso-wrap-distance-top:0.0pt;mso-wrap-distance-right:0.0pt;mso-wrap-distance-bottom:0.0pt;width:467.4pt;height:349.8pt;" stroked="f">
                <v:path textboxrect="0,0,0,0"/>
                <v:imagedata r:id="rId36" o:title=""/>
              </v:shape>
            </w:pict>
          </mc:Fallback>
        </mc:AlternateContent>
      </w:r>
    </w:p>
    <w:p w:rsidR="008A6B28" w:rsidRDefault="00DF2F8E">
      <w:pPr>
        <w:pStyle w:val="Caption"/>
        <w:spacing w:line="360" w:lineRule="auto"/>
        <w:jc w:val="both"/>
        <w:rPr>
          <w:rFonts w:ascii="Times New Roman" w:hAnsi="Times New Roman" w:cs="Times New Roman"/>
          <w:i w:val="0"/>
          <w:iCs w:val="0"/>
          <w:color w:val="auto"/>
          <w:sz w:val="20"/>
          <w:szCs w:val="20"/>
        </w:rPr>
      </w:pPr>
      <w:r>
        <w:rPr>
          <w:rFonts w:ascii="Times New Roman" w:hAnsi="Times New Roman" w:cs="Times New Roman"/>
          <w:i w:val="0"/>
          <w:iCs w:val="0"/>
          <w:color w:val="auto"/>
          <w:sz w:val="20"/>
          <w:szCs w:val="20"/>
        </w:rPr>
        <w:t>Figure 6</w:t>
      </w:r>
      <w:r w:rsidR="00135466">
        <w:rPr>
          <w:rFonts w:ascii="Times New Roman" w:hAnsi="Times New Roman" w:cs="Times New Roman"/>
          <w:i w:val="0"/>
          <w:iCs w:val="0"/>
          <w:color w:val="auto"/>
          <w:sz w:val="20"/>
          <w:szCs w:val="20"/>
        </w:rPr>
        <w:t xml:space="preserve"> </w:t>
      </w:r>
      <w:r w:rsidR="00135466" w:rsidRPr="00686E2C">
        <w:rPr>
          <w:rFonts w:ascii="Times New Roman" w:hAnsi="Times New Roman" w:cs="Times New Roman"/>
          <w:i w:val="0"/>
          <w:iCs w:val="0"/>
          <w:sz w:val="20"/>
          <w:szCs w:val="20"/>
        </w:rPr>
        <w:t>(high resolution image)</w:t>
      </w:r>
      <w:r>
        <w:rPr>
          <w:rFonts w:ascii="Times New Roman" w:hAnsi="Times New Roman" w:cs="Times New Roman"/>
          <w:i w:val="0"/>
          <w:iCs w:val="0"/>
          <w:color w:val="auto"/>
          <w:sz w:val="20"/>
          <w:szCs w:val="20"/>
        </w:rPr>
        <w:t>: Efficiency of implementation of the selected NPI (gyms and sport centers closures) in comparison to non-implementation of it within the selected subset of countries.</w:t>
      </w:r>
    </w:p>
    <w:p w:rsidR="008A6B28" w:rsidRDefault="00DF2F8E">
      <w:pPr>
        <w:pStyle w:val="Heading2"/>
        <w:numPr>
          <w:ilvl w:val="0"/>
          <w:numId w:val="5"/>
        </w:numPr>
        <w:spacing w:line="360" w:lineRule="auto"/>
        <w:rPr>
          <w:rFonts w:ascii="Times New Roman" w:hAnsi="Times New Roman" w:cs="Times New Roman"/>
          <w:sz w:val="28"/>
          <w:szCs w:val="28"/>
        </w:rPr>
      </w:pPr>
      <w:r>
        <w:rPr>
          <w:rFonts w:ascii="Times New Roman" w:hAnsi="Times New Roman" w:cs="Times New Roman"/>
          <w:sz w:val="28"/>
          <w:szCs w:val="28"/>
        </w:rPr>
        <w:t>Results</w:t>
      </w:r>
    </w:p>
    <w:p w:rsidR="008A6B28" w:rsidRDefault="00DF2F8E" w:rsidP="00BF0247">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In this paper we analyze the set of </w:t>
      </w:r>
      <w:r w:rsidR="00C13499">
        <w:rPr>
          <w:rFonts w:ascii="Times New Roman" w:hAnsi="Times New Roman" w:cs="Times New Roman"/>
          <w:sz w:val="24"/>
          <w:szCs w:val="24"/>
        </w:rPr>
        <w:t>explanatory factors</w:t>
      </w:r>
      <w:r>
        <w:rPr>
          <w:rFonts w:ascii="Times New Roman" w:hAnsi="Times New Roman" w:cs="Times New Roman"/>
          <w:sz w:val="24"/>
          <w:szCs w:val="24"/>
        </w:rPr>
        <w:t xml:space="preserve"> </w:t>
      </w:r>
      <w:r w:rsidR="00C13499">
        <w:rPr>
          <w:rFonts w:ascii="Times New Roman" w:hAnsi="Times New Roman" w:cs="Times New Roman"/>
          <w:sz w:val="24"/>
          <w:szCs w:val="24"/>
        </w:rPr>
        <w:t>containing</w:t>
      </w:r>
      <w:r>
        <w:rPr>
          <w:rFonts w:ascii="Times New Roman" w:hAnsi="Times New Roman" w:cs="Times New Roman"/>
          <w:sz w:val="24"/>
          <w:szCs w:val="24"/>
        </w:rPr>
        <w:t xml:space="preserve"> </w:t>
      </w:r>
      <w:r w:rsidR="00C13499">
        <w:rPr>
          <w:rFonts w:ascii="Times New Roman" w:hAnsi="Times New Roman" w:cs="Times New Roman"/>
          <w:sz w:val="24"/>
          <w:szCs w:val="24"/>
        </w:rPr>
        <w:t>a comprehensive set of</w:t>
      </w:r>
      <w:r w:rsidR="00956FE6">
        <w:rPr>
          <w:rFonts w:ascii="Times New Roman" w:hAnsi="Times New Roman" w:cs="Times New Roman"/>
          <w:sz w:val="24"/>
          <w:szCs w:val="24"/>
        </w:rPr>
        <w:t xml:space="preserve"> NPIs </w:t>
      </w:r>
      <w:r w:rsidR="00C13499">
        <w:rPr>
          <w:rFonts w:ascii="Times New Roman" w:hAnsi="Times New Roman" w:cs="Times New Roman"/>
          <w:sz w:val="24"/>
          <w:szCs w:val="24"/>
        </w:rPr>
        <w:t xml:space="preserve">as well as the most frequently sequenced virus variants, pre and post vaccination periods and seasonality impacts on the spread of the virus </w:t>
      </w:r>
      <w:r>
        <w:rPr>
          <w:rFonts w:ascii="Times New Roman" w:hAnsi="Times New Roman" w:cs="Times New Roman"/>
          <w:sz w:val="24"/>
          <w:szCs w:val="24"/>
        </w:rPr>
        <w:t xml:space="preserve">in </w:t>
      </w:r>
      <w:r w:rsidR="00956FE6">
        <w:rPr>
          <w:rFonts w:ascii="Times New Roman" w:hAnsi="Times New Roman" w:cs="Times New Roman"/>
          <w:sz w:val="24"/>
          <w:szCs w:val="24"/>
        </w:rPr>
        <w:t xml:space="preserve">30 </w:t>
      </w:r>
      <w:r>
        <w:rPr>
          <w:rFonts w:ascii="Times New Roman" w:hAnsi="Times New Roman" w:cs="Times New Roman"/>
          <w:sz w:val="24"/>
          <w:szCs w:val="24"/>
        </w:rPr>
        <w:t>European countries.</w:t>
      </w:r>
      <w:r w:rsidR="0065099C">
        <w:rPr>
          <w:rStyle w:val="FootnoteReference"/>
          <w:rFonts w:ascii="Times New Roman" w:hAnsi="Times New Roman" w:cs="Times New Roman"/>
          <w:sz w:val="24"/>
          <w:szCs w:val="24"/>
        </w:rPr>
        <w:footnoteReference w:id="11"/>
      </w:r>
      <w:r>
        <w:rPr>
          <w:rFonts w:ascii="Times New Roman" w:hAnsi="Times New Roman" w:cs="Times New Roman"/>
          <w:sz w:val="24"/>
          <w:szCs w:val="24"/>
        </w:rPr>
        <w:t xml:space="preserve"> The detailed results regarding the summary of government NPI efficiencies </w:t>
      </w:r>
      <m:oMath>
        <m:sSup>
          <m:sSupPr>
            <m:ctrlPr>
              <w:rPr>
                <w:rFonts w:ascii="Cambria Math" w:eastAsia="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+&lt;-</m:t>
            </m:r>
          </m:sup>
        </m:sSup>
      </m:oMath>
      <w:r>
        <w:rPr>
          <w:rFonts w:ascii="Times New Roman" w:hAnsi="Times New Roman" w:cs="Times New Roman"/>
          <w:sz w:val="24"/>
          <w:szCs w:val="24"/>
        </w:rPr>
        <w:t xml:space="preserve"> and the related</w:t>
      </w:r>
      <w:r w:rsidR="00956FE6">
        <w:rPr>
          <w:rFonts w:ascii="Times New Roman" w:hAnsi="Times New Roman" w:cs="Times New Roman"/>
          <w:sz w:val="24"/>
          <w:szCs w:val="24"/>
        </w:rPr>
        <w:t xml:space="preserve"> corresponded </w:t>
      </w:r>
      <w:r w:rsidR="009522EE">
        <w:rPr>
          <w:rFonts w:ascii="Times New Roman" w:hAnsi="Times New Roman" w:cs="Times New Roman"/>
          <w:sz w:val="24"/>
          <w:szCs w:val="24"/>
        </w:rPr>
        <w:t xml:space="preserve">statistics of the </w:t>
      </w:r>
      <w:r w:rsidR="00956FE6">
        <w:rPr>
          <w:rFonts w:ascii="Times New Roman" w:hAnsi="Times New Roman" w:cs="Times New Roman"/>
          <w:sz w:val="24"/>
          <w:szCs w:val="24"/>
        </w:rPr>
        <w:t>traces are attached to</w:t>
      </w:r>
      <w:r>
        <w:rPr>
          <w:rFonts w:ascii="Times New Roman" w:hAnsi="Times New Roman" w:cs="Times New Roman"/>
          <w:sz w:val="24"/>
          <w:szCs w:val="24"/>
        </w:rPr>
        <w:t xml:space="preserve"> the supplementary material</w:t>
      </w:r>
      <w:r w:rsidR="00956FE6">
        <w:rPr>
          <w:rFonts w:ascii="Times New Roman" w:hAnsi="Times New Roman" w:cs="Times New Roman"/>
          <w:sz w:val="24"/>
          <w:szCs w:val="24"/>
        </w:rPr>
        <w:t xml:space="preserve"> of this paper</w:t>
      </w:r>
      <w:r>
        <w:rPr>
          <w:rFonts w:ascii="Times New Roman" w:hAnsi="Times New Roman" w:cs="Times New Roman"/>
          <w:sz w:val="24"/>
          <w:szCs w:val="24"/>
        </w:rPr>
        <w:t xml:space="preserve">. The </w:t>
      </w:r>
      <w:r>
        <w:rPr>
          <w:rFonts w:ascii="Times New Roman" w:hAnsi="Times New Roman" w:cs="Times New Roman"/>
          <w:i/>
          <w:iCs/>
          <w:sz w:val="24"/>
          <w:szCs w:val="24"/>
        </w:rPr>
        <w:t>r-hat</w:t>
      </w:r>
      <w:r>
        <w:rPr>
          <w:rFonts w:ascii="Times New Roman" w:hAnsi="Times New Roman" w:cs="Times New Roman"/>
          <w:sz w:val="24"/>
          <w:szCs w:val="24"/>
        </w:rPr>
        <w:t xml:space="preserve"> statistic in all obtaining results are </w:t>
      </w:r>
      <w:r w:rsidR="009522EE">
        <w:rPr>
          <w:rFonts w:ascii="Times New Roman" w:hAnsi="Times New Roman" w:cs="Times New Roman"/>
          <w:sz w:val="24"/>
          <w:szCs w:val="24"/>
        </w:rPr>
        <w:t>precisely enough close to</w:t>
      </w:r>
      <w:r>
        <w:rPr>
          <w:rFonts w:ascii="Times New Roman" w:hAnsi="Times New Roman" w:cs="Times New Roman"/>
          <w:sz w:val="24"/>
          <w:szCs w:val="24"/>
        </w:rPr>
        <w:t xml:space="preserve"> 1.00 for all parameters. This indicates no </w:t>
      </w:r>
      <w:r>
        <w:rPr>
          <w:rFonts w:ascii="Times New Roman" w:hAnsi="Times New Roman" w:cs="Times New Roman"/>
          <w:sz w:val="24"/>
          <w:szCs w:val="24"/>
        </w:rPr>
        <w:lastRenderedPageBreak/>
        <w:t>pro</w:t>
      </w:r>
      <w:r w:rsidR="005F17B1">
        <w:rPr>
          <w:rFonts w:ascii="Times New Roman" w:hAnsi="Times New Roman" w:cs="Times New Roman"/>
          <w:sz w:val="24"/>
          <w:szCs w:val="24"/>
        </w:rPr>
        <w:t>blems during sampling. The average</w:t>
      </w:r>
      <w:r>
        <w:rPr>
          <w:rFonts w:ascii="Times New Roman" w:hAnsi="Times New Roman" w:cs="Times New Roman"/>
          <w:sz w:val="24"/>
          <w:szCs w:val="24"/>
        </w:rPr>
        <w:t xml:space="preserve"> values </w:t>
      </w:r>
      <w:r w:rsidR="005F17B1">
        <w:rPr>
          <w:rFonts w:ascii="Times New Roman" w:hAnsi="Times New Roman" w:cs="Times New Roman"/>
          <w:sz w:val="24"/>
          <w:szCs w:val="24"/>
        </w:rPr>
        <w:t>corresponded to the each explanatory factor</w:t>
      </w:r>
      <w:r>
        <w:rPr>
          <w:rFonts w:ascii="Times New Roman" w:hAnsi="Times New Roman" w:cs="Times New Roman"/>
          <w:sz w:val="24"/>
          <w:szCs w:val="24"/>
        </w:rPr>
        <w:t xml:space="preserve"> efficiencies </w:t>
      </w:r>
      <m:oMath>
        <m:sSup>
          <m:sSupPr>
            <m:ctrlPr>
              <w:rPr>
                <w:rFonts w:ascii="Cambria Math" w:eastAsia="Cambria Math" w:hAnsi="Cambria Math" w:cs="Times New Roman"/>
                <w:sz w:val="24"/>
                <w:szCs w:val="24"/>
              </w:rPr>
            </m:ctrlPr>
          </m:sSupPr>
          <m:e>
            <m:r>
              <m:rPr>
                <m:sty m:val="p"/>
              </m:rPr>
              <w:rPr>
                <w:rFonts w:ascii="Cambria Math" w:hAnsi="Cambria Math" w:cs="Times New Roman"/>
                <w:sz w:val="24"/>
                <w:szCs w:val="24"/>
              </w:rPr>
              <m:t>e</m:t>
            </m:r>
          </m:e>
          <m:sup>
            <m:r>
              <m:rPr>
                <m:sty m:val="p"/>
              </m:rPr>
              <w:rPr>
                <w:rFonts w:ascii="Cambria Math" w:hAnsi="Cambria Math" w:cs="Times New Roman"/>
                <w:sz w:val="24"/>
                <w:szCs w:val="24"/>
              </w:rPr>
              <m:t>+&lt;-</m:t>
            </m:r>
          </m:sup>
        </m:sSup>
      </m:oMath>
      <w:r>
        <w:rPr>
          <w:rFonts w:ascii="Times New Roman" w:hAnsi="Times New Roman" w:cs="Times New Roman"/>
          <w:sz w:val="24"/>
          <w:szCs w:val="24"/>
        </w:rPr>
        <w:t xml:space="preserve"> is </w:t>
      </w:r>
      <w:r w:rsidR="005F17B1">
        <w:rPr>
          <w:rFonts w:ascii="Times New Roman" w:hAnsi="Times New Roman" w:cs="Times New Roman"/>
          <w:sz w:val="24"/>
          <w:szCs w:val="24"/>
        </w:rPr>
        <w:t>presented</w:t>
      </w:r>
      <w:r>
        <w:rPr>
          <w:rFonts w:ascii="Times New Roman" w:hAnsi="Times New Roman" w:cs="Times New Roman"/>
          <w:sz w:val="24"/>
          <w:szCs w:val="24"/>
        </w:rPr>
        <w:t xml:space="preserve"> in figure 7</w:t>
      </w:r>
      <w:r w:rsidR="00A44C87">
        <w:rPr>
          <w:rFonts w:ascii="Times New Roman" w:hAnsi="Times New Roman" w:cs="Times New Roman"/>
          <w:sz w:val="24"/>
          <w:szCs w:val="24"/>
        </w:rPr>
        <w:t>.</w:t>
      </w:r>
      <w:r>
        <w:rPr>
          <w:rStyle w:val="FootnoteReference"/>
          <w:rFonts w:ascii="Times New Roman" w:hAnsi="Times New Roman" w:cs="Times New Roman"/>
          <w:sz w:val="24"/>
          <w:szCs w:val="24"/>
        </w:rPr>
        <w:footnoteReference w:id="12"/>
      </w:r>
    </w:p>
    <w:p w:rsidR="00BC025B" w:rsidRDefault="00BC025B" w:rsidP="00336444">
      <w:pPr>
        <w:spacing w:line="360" w:lineRule="auto"/>
        <w:jc w:val="both"/>
        <w:rPr>
          <w:rFonts w:ascii="Times New Roman" w:hAnsi="Times New Roman" w:cs="Times New Roman"/>
          <w:sz w:val="24"/>
          <w:szCs w:val="24"/>
        </w:rPr>
      </w:pPr>
      <w:r>
        <w:rPr>
          <w:rFonts w:ascii="Times New Roman" w:eastAsia="Times New Roman" w:hAnsi="Times New Roman" w:cs="Times New Roman"/>
          <w:sz w:val="24"/>
          <w:szCs w:val="24"/>
        </w:rPr>
        <w:t>From the first 3 rows of the figure</w:t>
      </w:r>
      <w:r w:rsidRPr="009872B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7</w:t>
      </w:r>
      <w:r w:rsidRPr="009872B0">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one can infer </w:t>
      </w:r>
      <w:r w:rsidRPr="009872B0">
        <w:rPr>
          <w:rFonts w:ascii="Times New Roman" w:eastAsia="Times New Roman" w:hAnsi="Times New Roman" w:cs="Times New Roman"/>
          <w:sz w:val="24"/>
          <w:szCs w:val="24"/>
        </w:rPr>
        <w:t xml:space="preserve">that </w:t>
      </w:r>
      <w:r>
        <w:rPr>
          <w:rFonts w:ascii="Times New Roman" w:eastAsia="Times New Roman" w:hAnsi="Times New Roman" w:cs="Times New Roman"/>
          <w:sz w:val="24"/>
          <w:szCs w:val="24"/>
        </w:rPr>
        <w:t>within the days</w:t>
      </w:r>
      <w:r w:rsidRPr="009872B0">
        <w:rPr>
          <w:rFonts w:ascii="Times New Roman" w:eastAsia="Times New Roman" w:hAnsi="Times New Roman" w:cs="Times New Roman"/>
          <w:sz w:val="24"/>
          <w:szCs w:val="24"/>
        </w:rPr>
        <w:t xml:space="preserve"> of</w:t>
      </w:r>
      <w:r>
        <w:rPr>
          <w:rFonts w:ascii="Times New Roman" w:eastAsia="Times New Roman" w:hAnsi="Times New Roman" w:cs="Times New Roman"/>
          <w:sz w:val="24"/>
          <w:szCs w:val="24"/>
        </w:rPr>
        <w:t xml:space="preserve"> the presence of the</w:t>
      </w:r>
      <w:r w:rsidRPr="009872B0">
        <w:rPr>
          <w:rFonts w:ascii="Times New Roman" w:eastAsia="Times New Roman" w:hAnsi="Times New Roman" w:cs="Times New Roman"/>
          <w:sz w:val="24"/>
          <w:szCs w:val="24"/>
        </w:rPr>
        <w:t xml:space="preserve"> </w:t>
      </w:r>
      <w:r w:rsidRPr="009872B0">
        <w:rPr>
          <w:rFonts w:ascii="Times New Roman" w:hAnsi="Times New Roman" w:cs="Times New Roman"/>
          <w:i/>
          <w:iCs/>
          <w:sz w:val="24"/>
          <w:szCs w:val="24"/>
        </w:rPr>
        <w:t>B.1.1.7(Coronavirus Alpha variant</w:t>
      </w:r>
      <w:r w:rsidRPr="009872B0">
        <w:rPr>
          <w:rFonts w:ascii="Times New Roman" w:hAnsi="Times New Roman" w:cs="Times New Roman"/>
          <w:sz w:val="24"/>
          <w:szCs w:val="24"/>
        </w:rPr>
        <w:t>)</w:t>
      </w:r>
      <w:r>
        <w:rPr>
          <w:rFonts w:ascii="Times New Roman" w:hAnsi="Times New Roman" w:cs="Times New Roman"/>
          <w:sz w:val="24"/>
          <w:szCs w:val="24"/>
        </w:rPr>
        <w:t xml:space="preserve"> in comparison to the days of non-activation of it,</w:t>
      </w:r>
      <w:r w:rsidRPr="009872B0">
        <w:rPr>
          <w:rFonts w:ascii="Times New Roman" w:hAnsi="Times New Roman" w:cs="Times New Roman"/>
          <w:sz w:val="24"/>
          <w:szCs w:val="24"/>
        </w:rPr>
        <w:t xml:space="preserve"> </w:t>
      </w:r>
      <w:r w:rsidRPr="009872B0">
        <w:rPr>
          <w:rFonts w:ascii="Times New Roman" w:hAnsi="Times New Roman" w:cs="Times New Roman"/>
          <w:sz w:val="24"/>
          <w:szCs w:val="24"/>
        </w:rPr>
        <w:t>enormous</w:t>
      </w:r>
      <w:r w:rsidRPr="009872B0">
        <w:rPr>
          <w:rFonts w:ascii="Times New Roman" w:hAnsi="Times New Roman" w:cs="Times New Roman"/>
          <w:sz w:val="24"/>
          <w:szCs w:val="24"/>
        </w:rPr>
        <w:t xml:space="preserve"> considerable amount of </w:t>
      </w:r>
      <w:r>
        <w:rPr>
          <w:rFonts w:ascii="Times New Roman" w:hAnsi="Times New Roman" w:cs="Times New Roman"/>
          <w:sz w:val="24"/>
          <w:szCs w:val="24"/>
        </w:rPr>
        <w:t>reduction in the growth rates of the pandemic could</w:t>
      </w:r>
      <w:r w:rsidRPr="009872B0">
        <w:rPr>
          <w:rFonts w:ascii="Times New Roman" w:hAnsi="Times New Roman" w:cs="Times New Roman"/>
          <w:sz w:val="24"/>
          <w:szCs w:val="24"/>
        </w:rPr>
        <w:t xml:space="preserve"> have been achieved. </w:t>
      </w:r>
      <w:r>
        <w:rPr>
          <w:rFonts w:ascii="Times New Roman" w:hAnsi="Times New Roman" w:cs="Times New Roman"/>
          <w:sz w:val="24"/>
          <w:szCs w:val="24"/>
        </w:rPr>
        <w:t xml:space="preserve">Likewise, one can infer that </w:t>
      </w:r>
      <w:r w:rsidRPr="009872B0">
        <w:rPr>
          <w:rFonts w:ascii="Times New Roman" w:hAnsi="Times New Roman" w:cs="Times New Roman"/>
          <w:sz w:val="24"/>
          <w:szCs w:val="24"/>
        </w:rPr>
        <w:t xml:space="preserve">how the </w:t>
      </w:r>
      <w:r>
        <w:rPr>
          <w:rFonts w:ascii="Times New Roman" w:hAnsi="Times New Roman" w:cs="Times New Roman"/>
          <w:sz w:val="24"/>
          <w:szCs w:val="24"/>
        </w:rPr>
        <w:t>activation of the explanatory variable</w:t>
      </w:r>
      <w:r w:rsidRPr="009872B0">
        <w:rPr>
          <w:rFonts w:ascii="Times New Roman" w:hAnsi="Times New Roman" w:cs="Times New Roman"/>
          <w:sz w:val="24"/>
          <w:szCs w:val="24"/>
        </w:rPr>
        <w:t xml:space="preserve"> </w:t>
      </w:r>
      <w:r w:rsidRPr="009872B0">
        <w:rPr>
          <w:rFonts w:ascii="Times New Roman" w:hAnsi="Times New Roman" w:cs="Times New Roman"/>
          <w:i/>
          <w:iCs/>
          <w:sz w:val="24"/>
          <w:szCs w:val="24"/>
        </w:rPr>
        <w:t>B.1.617.2 (Coronavirus Delta variant)</w:t>
      </w:r>
      <w:r w:rsidRPr="009872B0">
        <w:rPr>
          <w:rFonts w:ascii="Times New Roman" w:hAnsi="Times New Roman" w:cs="Times New Roman"/>
          <w:sz w:val="24"/>
          <w:szCs w:val="24"/>
        </w:rPr>
        <w:t xml:space="preserve"> </w:t>
      </w:r>
      <w:r>
        <w:rPr>
          <w:rFonts w:ascii="Times New Roman" w:hAnsi="Times New Roman" w:cs="Times New Roman"/>
          <w:sz w:val="24"/>
          <w:szCs w:val="24"/>
        </w:rPr>
        <w:t>has been</w:t>
      </w:r>
      <w:r w:rsidRPr="009872B0">
        <w:rPr>
          <w:rFonts w:ascii="Times New Roman" w:hAnsi="Times New Roman" w:cs="Times New Roman"/>
          <w:sz w:val="24"/>
          <w:szCs w:val="24"/>
        </w:rPr>
        <w:t xml:space="preserve"> harmful</w:t>
      </w:r>
      <w:r>
        <w:rPr>
          <w:rFonts w:ascii="Times New Roman" w:hAnsi="Times New Roman" w:cs="Times New Roman"/>
          <w:sz w:val="24"/>
          <w:szCs w:val="24"/>
        </w:rPr>
        <w:t xml:space="preserve">. In contrast, </w:t>
      </w:r>
      <w:r>
        <w:rPr>
          <w:rFonts w:ascii="Times New Roman" w:hAnsi="Times New Roman" w:cs="Times New Roman"/>
          <w:iCs/>
          <w:sz w:val="24"/>
          <w:szCs w:val="24"/>
        </w:rPr>
        <w:t xml:space="preserve">the </w:t>
      </w:r>
      <w:r w:rsidRPr="009872B0">
        <w:rPr>
          <w:rFonts w:ascii="Times New Roman" w:hAnsi="Times New Roman" w:cs="Times New Roman"/>
          <w:i/>
          <w:iCs/>
          <w:sz w:val="24"/>
          <w:szCs w:val="24"/>
        </w:rPr>
        <w:t xml:space="preserve">BA.2 (Coronavirus Omicron variant) </w:t>
      </w:r>
      <w:r>
        <w:rPr>
          <w:rFonts w:ascii="Times New Roman" w:hAnsi="Times New Roman" w:cs="Times New Roman"/>
          <w:i/>
          <w:iCs/>
          <w:sz w:val="24"/>
          <w:szCs w:val="24"/>
        </w:rPr>
        <w:t xml:space="preserve">activation </w:t>
      </w:r>
      <w:r>
        <w:rPr>
          <w:rFonts w:ascii="Times New Roman" w:hAnsi="Times New Roman" w:cs="Times New Roman"/>
          <w:sz w:val="24"/>
          <w:szCs w:val="24"/>
        </w:rPr>
        <w:t>might</w:t>
      </w:r>
      <w:r w:rsidRPr="009872B0">
        <w:rPr>
          <w:rFonts w:ascii="Times New Roman" w:hAnsi="Times New Roman" w:cs="Times New Roman"/>
          <w:sz w:val="24"/>
          <w:szCs w:val="24"/>
        </w:rPr>
        <w:t xml:space="preserve"> have been beneficial in terms of ameli</w:t>
      </w:r>
      <w:r>
        <w:rPr>
          <w:rFonts w:ascii="Times New Roman" w:hAnsi="Times New Roman" w:cs="Times New Roman"/>
          <w:sz w:val="24"/>
          <w:szCs w:val="24"/>
        </w:rPr>
        <w:t>oration of the virus spread.</w:t>
      </w:r>
      <w:r w:rsidR="002B4DC1">
        <w:rPr>
          <w:rFonts w:ascii="Times New Roman" w:hAnsi="Times New Roman" w:cs="Times New Roman"/>
          <w:sz w:val="24"/>
          <w:szCs w:val="24"/>
        </w:rPr>
        <w:t xml:space="preserve"> Regarding the seasonality effects it is apparent that large probable growth rates of the virus is achieved by activation of the season Autumn (within September, October and November) and the smallest probabilities with regard to the pandemic growth is predicted to be in the season Spring (within March, April and May). The gained efficiencies in terms of less values of growth rates in Winter (within December, January and February) are higher than the anticipated efficiencies of Summer (June, July and August). </w:t>
      </w:r>
      <w:r w:rsidR="002B4DC1" w:rsidRPr="009872B0">
        <w:rPr>
          <w:rFonts w:ascii="Times New Roman" w:hAnsi="Times New Roman" w:cs="Times New Roman"/>
          <w:sz w:val="24"/>
          <w:szCs w:val="24"/>
        </w:rPr>
        <w:t xml:space="preserve">With reference to the predecessor literature, the role of seasonal trends has been explored in </w:t>
      </w:r>
      <w:proofErr w:type="spellStart"/>
      <w:r w:rsidR="002B4DC1" w:rsidRPr="009872B0">
        <w:rPr>
          <w:rFonts w:ascii="Times New Roman" w:hAnsi="Times New Roman" w:cs="Times New Roman"/>
          <w:sz w:val="24"/>
          <w:szCs w:val="24"/>
        </w:rPr>
        <w:t>Merow</w:t>
      </w:r>
      <w:proofErr w:type="spellEnd"/>
      <w:r w:rsidR="002B4DC1" w:rsidRPr="009872B0">
        <w:rPr>
          <w:rFonts w:ascii="Times New Roman" w:hAnsi="Times New Roman" w:cs="Times New Roman"/>
          <w:sz w:val="24"/>
          <w:szCs w:val="24"/>
        </w:rPr>
        <w:t xml:space="preserve"> and Urban (2020) and </w:t>
      </w:r>
      <w:proofErr w:type="spellStart"/>
      <w:r w:rsidR="002B4DC1" w:rsidRPr="009872B0">
        <w:rPr>
          <w:rFonts w:ascii="Times New Roman" w:hAnsi="Times New Roman" w:cs="Times New Roman"/>
          <w:sz w:val="24"/>
          <w:szCs w:val="24"/>
        </w:rPr>
        <w:t>Wiemken</w:t>
      </w:r>
      <w:proofErr w:type="spellEnd"/>
      <w:r w:rsidR="002B4DC1" w:rsidRPr="009872B0">
        <w:rPr>
          <w:rFonts w:ascii="Times New Roman" w:hAnsi="Times New Roman" w:cs="Times New Roman"/>
          <w:sz w:val="24"/>
          <w:szCs w:val="24"/>
        </w:rPr>
        <w:t xml:space="preserve"> et. al. (2023). </w:t>
      </w:r>
      <w:proofErr w:type="spellStart"/>
      <w:r w:rsidR="002B4DC1" w:rsidRPr="009872B0">
        <w:rPr>
          <w:rFonts w:ascii="Times New Roman" w:hAnsi="Times New Roman" w:cs="Times New Roman"/>
          <w:sz w:val="24"/>
          <w:szCs w:val="24"/>
        </w:rPr>
        <w:t>Merow</w:t>
      </w:r>
      <w:proofErr w:type="spellEnd"/>
      <w:r w:rsidR="002B4DC1" w:rsidRPr="009872B0">
        <w:rPr>
          <w:rFonts w:ascii="Times New Roman" w:hAnsi="Times New Roman" w:cs="Times New Roman"/>
          <w:sz w:val="24"/>
          <w:szCs w:val="24"/>
        </w:rPr>
        <w:t xml:space="preserve"> and Urban (2020) developed statistical models that predict the maximum potential of COVID-19 worldwide and throughout the year and predicted that COVID-19 will decrease temporarily during summer, rebound by autumn, and peak next winter. In a more recent study, </w:t>
      </w:r>
      <w:proofErr w:type="spellStart"/>
      <w:r w:rsidR="002B4DC1" w:rsidRPr="009872B0">
        <w:rPr>
          <w:rFonts w:ascii="Times New Roman" w:hAnsi="Times New Roman" w:cs="Times New Roman"/>
          <w:sz w:val="24"/>
          <w:szCs w:val="24"/>
        </w:rPr>
        <w:t>Wiemken</w:t>
      </w:r>
      <w:proofErr w:type="spellEnd"/>
      <w:r w:rsidR="002B4DC1" w:rsidRPr="009872B0">
        <w:rPr>
          <w:rFonts w:ascii="Times New Roman" w:hAnsi="Times New Roman" w:cs="Times New Roman"/>
          <w:sz w:val="24"/>
          <w:szCs w:val="24"/>
        </w:rPr>
        <w:t xml:space="preserve"> et. al. (2023) use time series decomposition to extract the annual seasonal component of COVID-19 case, hospitalization, and mortality rates from March 2020 through December 2022 for the United States and Europe and identify seasonal spikes in COVID-19 from approximately November through April for all outc</w:t>
      </w:r>
      <w:r w:rsidR="00336444">
        <w:rPr>
          <w:rFonts w:ascii="Times New Roman" w:hAnsi="Times New Roman" w:cs="Times New Roman"/>
          <w:sz w:val="24"/>
          <w:szCs w:val="24"/>
        </w:rPr>
        <w:t>omes and in all countries. The</w:t>
      </w:r>
      <w:r w:rsidR="002B4DC1" w:rsidRPr="009872B0">
        <w:rPr>
          <w:rFonts w:ascii="Times New Roman" w:hAnsi="Times New Roman" w:cs="Times New Roman"/>
          <w:sz w:val="24"/>
          <w:szCs w:val="24"/>
        </w:rPr>
        <w:t xml:space="preserve"> results </w:t>
      </w:r>
      <w:r w:rsidR="00336444">
        <w:rPr>
          <w:rFonts w:ascii="Times New Roman" w:hAnsi="Times New Roman" w:cs="Times New Roman"/>
          <w:sz w:val="24"/>
          <w:szCs w:val="24"/>
        </w:rPr>
        <w:t xml:space="preserve">of our model </w:t>
      </w:r>
      <w:r w:rsidR="00336444" w:rsidRPr="00A51365">
        <w:rPr>
          <w:rFonts w:ascii="Times New Roman" w:hAnsi="Times New Roman" w:cs="Times New Roman"/>
          <w:i/>
          <w:iCs/>
          <w:sz w:val="24"/>
          <w:szCs w:val="24"/>
        </w:rPr>
        <w:t>partially</w:t>
      </w:r>
      <w:r w:rsidR="00336444">
        <w:rPr>
          <w:rFonts w:ascii="Times New Roman" w:hAnsi="Times New Roman" w:cs="Times New Roman"/>
          <w:sz w:val="24"/>
          <w:szCs w:val="24"/>
        </w:rPr>
        <w:t xml:space="preserve"> overlap with the aforementioned studies when it comes to the rebounding the virus spread in the time span around October and November in Autumn and that within the time span around April a receding phase begins. </w:t>
      </w:r>
      <w:r w:rsidR="00216379">
        <w:rPr>
          <w:rFonts w:ascii="Times New Roman" w:hAnsi="Times New Roman" w:cs="Times New Roman"/>
          <w:sz w:val="24"/>
          <w:szCs w:val="24"/>
        </w:rPr>
        <w:t xml:space="preserve">It gets from the figure 7 obvious that </w:t>
      </w:r>
      <w:r w:rsidR="00354DA8">
        <w:rPr>
          <w:rFonts w:ascii="Times New Roman" w:hAnsi="Times New Roman" w:cs="Times New Roman"/>
          <w:sz w:val="24"/>
          <w:szCs w:val="24"/>
        </w:rPr>
        <w:t xml:space="preserve">in the majority of countries the efficiency of the post vaccination period is relatively higher that the pre vaccination. </w:t>
      </w:r>
    </w:p>
    <w:p w:rsidR="00627F83" w:rsidRDefault="00627F83" w:rsidP="00336444">
      <w:pPr>
        <w:spacing w:line="360" w:lineRule="auto"/>
        <w:jc w:val="both"/>
        <w:rPr>
          <w:rFonts w:ascii="Times New Roman" w:hAnsi="Times New Roman" w:cs="Times New Roman"/>
          <w:iCs/>
          <w:sz w:val="24"/>
          <w:szCs w:val="24"/>
        </w:rPr>
      </w:pPr>
    </w:p>
    <w:p w:rsidR="008A6B28" w:rsidRDefault="00DA0F26">
      <w:pPr>
        <w:spacing w:line="360" w:lineRule="auto"/>
        <w:jc w:val="both"/>
        <w:rPr>
          <w:rFonts w:ascii="Times New Roman" w:hAnsi="Times New Roman" w:cs="Times New Roman"/>
          <w:i/>
          <w:sz w:val="20"/>
          <w:szCs w:val="20"/>
        </w:rPr>
      </w:pPr>
      <w:r>
        <w:rPr>
          <w:noProof/>
        </w:rPr>
        <w:lastRenderedPageBreak/>
        <w:drawing>
          <wp:inline distT="0" distB="0" distL="0" distR="0" wp14:anchorId="05A0C1A1" wp14:editId="0EFAA7D6">
            <wp:extent cx="7802880" cy="10020300"/>
            <wp:effectExtent l="0" t="0" r="762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7802880" cy="10020300"/>
                    </a:xfrm>
                    <a:prstGeom prst="rect">
                      <a:avLst/>
                    </a:prstGeom>
                  </pic:spPr>
                </pic:pic>
              </a:graphicData>
            </a:graphic>
          </wp:inline>
        </w:drawing>
      </w:r>
    </w:p>
    <w:p w:rsidR="008A6B28" w:rsidRPr="00686E2C" w:rsidRDefault="00DF2F8E" w:rsidP="00686E2C">
      <w:pPr>
        <w:pStyle w:val="Caption"/>
        <w:rPr>
          <w:rFonts w:ascii="Times New Roman" w:hAnsi="Times New Roman" w:cs="Times New Roman"/>
          <w:i w:val="0"/>
          <w:iCs w:val="0"/>
          <w:sz w:val="20"/>
          <w:szCs w:val="20"/>
        </w:rPr>
      </w:pPr>
      <w:r w:rsidRPr="00686E2C">
        <w:rPr>
          <w:rFonts w:ascii="Times New Roman" w:hAnsi="Times New Roman" w:cs="Times New Roman"/>
          <w:i w:val="0"/>
          <w:iCs w:val="0"/>
          <w:sz w:val="20"/>
          <w:szCs w:val="20"/>
        </w:rPr>
        <w:lastRenderedPageBreak/>
        <w:t>Figure 7</w:t>
      </w:r>
      <w:r w:rsidR="00686E2C" w:rsidRPr="00686E2C">
        <w:rPr>
          <w:rFonts w:ascii="Times New Roman" w:hAnsi="Times New Roman" w:cs="Times New Roman"/>
          <w:i w:val="0"/>
          <w:iCs w:val="0"/>
          <w:sz w:val="20"/>
          <w:szCs w:val="20"/>
        </w:rPr>
        <w:t xml:space="preserve"> </w:t>
      </w:r>
      <w:r w:rsidR="00686E2C" w:rsidRPr="00686E2C">
        <w:rPr>
          <w:rFonts w:ascii="Times New Roman" w:hAnsi="Times New Roman" w:cs="Times New Roman"/>
          <w:i w:val="0"/>
          <w:iCs w:val="0"/>
          <w:sz w:val="20"/>
          <w:szCs w:val="20"/>
        </w:rPr>
        <w:t>(high resolution image)</w:t>
      </w:r>
      <w:r w:rsidR="00686E2C" w:rsidRPr="00686E2C">
        <w:rPr>
          <w:rFonts w:ascii="Times New Roman" w:hAnsi="Times New Roman" w:cs="Times New Roman"/>
          <w:i w:val="0"/>
          <w:iCs w:val="0"/>
          <w:color w:val="auto"/>
          <w:sz w:val="20"/>
          <w:szCs w:val="20"/>
        </w:rPr>
        <w:t>:</w:t>
      </w:r>
      <w:r w:rsidR="00686E2C">
        <w:rPr>
          <w:rFonts w:ascii="Times New Roman" w:hAnsi="Times New Roman" w:cs="Times New Roman"/>
          <w:i w:val="0"/>
          <w:iCs w:val="0"/>
          <w:sz w:val="20"/>
          <w:szCs w:val="20"/>
        </w:rPr>
        <w:t xml:space="preserve"> t</w:t>
      </w:r>
      <w:r w:rsidRPr="00686E2C">
        <w:rPr>
          <w:rFonts w:ascii="Times New Roman" w:hAnsi="Times New Roman" w:cs="Times New Roman"/>
          <w:i w:val="0"/>
          <w:iCs w:val="0"/>
          <w:sz w:val="20"/>
          <w:szCs w:val="20"/>
        </w:rPr>
        <w:t xml:space="preserve">he summary of </w:t>
      </w:r>
      <w:r w:rsidR="001545FC" w:rsidRPr="00686E2C">
        <w:rPr>
          <w:rFonts w:ascii="Times New Roman" w:hAnsi="Times New Roman" w:cs="Times New Roman"/>
          <w:i w:val="0"/>
          <w:iCs w:val="0"/>
          <w:sz w:val="20"/>
          <w:szCs w:val="20"/>
        </w:rPr>
        <w:t>explanatory factors</w:t>
      </w:r>
      <w:r w:rsidRPr="00686E2C">
        <w:rPr>
          <w:rFonts w:ascii="Times New Roman" w:hAnsi="Times New Roman" w:cs="Times New Roman"/>
          <w:i w:val="0"/>
          <w:iCs w:val="0"/>
          <w:sz w:val="20"/>
          <w:szCs w:val="20"/>
        </w:rPr>
        <w:t xml:space="preserve"> </w:t>
      </w:r>
      <w:r w:rsidR="00686E2C">
        <w:rPr>
          <w:rFonts w:ascii="Times New Roman" w:hAnsi="Times New Roman" w:cs="Times New Roman"/>
          <w:i w:val="0"/>
          <w:iCs w:val="0"/>
          <w:sz w:val="20"/>
          <w:szCs w:val="20"/>
        </w:rPr>
        <w:t>average</w:t>
      </w:r>
      <w:r w:rsidRPr="00686E2C">
        <w:rPr>
          <w:rFonts w:ascii="Times New Roman" w:hAnsi="Times New Roman" w:cs="Times New Roman"/>
          <w:i w:val="0"/>
          <w:iCs w:val="0"/>
          <w:sz w:val="20"/>
          <w:szCs w:val="20"/>
        </w:rPr>
        <w:t xml:space="preserve"> efficiencies </w:t>
      </w:r>
      <m:oMath>
        <m:sSup>
          <m:sSupPr>
            <m:ctrlPr>
              <w:rPr>
                <w:rFonts w:ascii="Cambria Math" w:eastAsia="Cambria Math" w:hAnsi="Cambria Math" w:cs="Times New Roman"/>
              </w:rPr>
            </m:ctrlPr>
          </m:sSupPr>
          <m:e>
            <m:r>
              <w:rPr>
                <w:rFonts w:ascii="Cambria Math" w:hAnsi="Cambria Math" w:cs="Times New Roman"/>
              </w:rPr>
              <m:t>e</m:t>
            </m:r>
          </m:e>
          <m:sup>
            <m:r>
              <w:rPr>
                <w:rFonts w:ascii="Cambria Math" w:hAnsi="Cambria Math" w:cs="Times New Roman"/>
              </w:rPr>
              <m:t>+&lt;-</m:t>
            </m:r>
          </m:sup>
        </m:sSup>
        <m:r>
          <w:rPr>
            <w:rFonts w:ascii="Cambria Math" w:eastAsia="Cambria Math" w:hAnsi="Cambria Math" w:cs="Times New Roman"/>
          </w:rPr>
          <m:t xml:space="preserve"> s </m:t>
        </m:r>
      </m:oMath>
      <w:r w:rsidRPr="00686E2C">
        <w:rPr>
          <w:rFonts w:ascii="Times New Roman" w:hAnsi="Times New Roman" w:cs="Times New Roman"/>
          <w:i w:val="0"/>
          <w:iCs w:val="0"/>
          <w:sz w:val="20"/>
          <w:szCs w:val="20"/>
        </w:rPr>
        <w:t>in percentage values.</w:t>
      </w:r>
    </w:p>
    <w:p w:rsidR="00627F83" w:rsidRDefault="00627F83" w:rsidP="00203D90">
      <w:pPr>
        <w:spacing w:line="360" w:lineRule="auto"/>
        <w:jc w:val="both"/>
        <w:rPr>
          <w:rFonts w:ascii="Times New Roman" w:hAnsi="Times New Roman" w:cs="Times New Roman"/>
          <w:sz w:val="24"/>
          <w:szCs w:val="24"/>
        </w:rPr>
      </w:pPr>
      <w:r>
        <w:rPr>
          <w:rFonts w:ascii="Times New Roman" w:hAnsi="Times New Roman" w:cs="Times New Roman"/>
          <w:sz w:val="24"/>
          <w:szCs w:val="24"/>
        </w:rPr>
        <w:t>W</w:t>
      </w:r>
      <w:r w:rsidRPr="009872B0">
        <w:rPr>
          <w:rFonts w:ascii="Times New Roman" w:hAnsi="Times New Roman" w:cs="Times New Roman"/>
          <w:sz w:val="24"/>
          <w:szCs w:val="24"/>
        </w:rPr>
        <w:t>ithin the NPIs</w:t>
      </w:r>
      <w:r w:rsidR="00897686">
        <w:rPr>
          <w:rStyle w:val="FootnoteReference"/>
          <w:rFonts w:ascii="Times New Roman" w:hAnsi="Times New Roman" w:cs="Times New Roman"/>
          <w:sz w:val="24"/>
          <w:szCs w:val="24"/>
        </w:rPr>
        <w:footnoteReference w:id="13"/>
      </w:r>
      <w:r w:rsidRPr="009872B0">
        <w:rPr>
          <w:rFonts w:ascii="Times New Roman" w:hAnsi="Times New Roman" w:cs="Times New Roman"/>
          <w:sz w:val="24"/>
          <w:szCs w:val="24"/>
        </w:rPr>
        <w:t>,</w:t>
      </w:r>
      <w:r>
        <w:rPr>
          <w:rFonts w:ascii="Times New Roman" w:hAnsi="Times New Roman" w:cs="Times New Roman"/>
          <w:sz w:val="24"/>
          <w:szCs w:val="24"/>
        </w:rPr>
        <w:t xml:space="preserve"> it becomes evident from the experience of</w:t>
      </w:r>
      <w:r w:rsidRPr="009872B0">
        <w:rPr>
          <w:rFonts w:ascii="Times New Roman" w:hAnsi="Times New Roman" w:cs="Times New Roman"/>
          <w:sz w:val="24"/>
          <w:szCs w:val="24"/>
        </w:rPr>
        <w:t xml:space="preserve"> the</w:t>
      </w:r>
      <w:r>
        <w:rPr>
          <w:rFonts w:ascii="Times New Roman" w:hAnsi="Times New Roman" w:cs="Times New Roman"/>
          <w:sz w:val="24"/>
          <w:szCs w:val="24"/>
        </w:rPr>
        <w:t xml:space="preserve"> European countries that a</w:t>
      </w:r>
      <w:r w:rsidRPr="009872B0">
        <w:rPr>
          <w:rFonts w:ascii="Times New Roman" w:hAnsi="Times New Roman" w:cs="Times New Roman"/>
          <w:sz w:val="24"/>
          <w:szCs w:val="24"/>
        </w:rPr>
        <w:t xml:space="preserve">mong the government </w:t>
      </w:r>
      <w:r>
        <w:rPr>
          <w:rFonts w:ascii="Times New Roman" w:hAnsi="Times New Roman" w:cs="Times New Roman"/>
          <w:sz w:val="24"/>
          <w:szCs w:val="24"/>
        </w:rPr>
        <w:t xml:space="preserve">non-pharmaceutical </w:t>
      </w:r>
      <w:r w:rsidRPr="009872B0">
        <w:rPr>
          <w:rFonts w:ascii="Times New Roman" w:hAnsi="Times New Roman" w:cs="Times New Roman"/>
          <w:sz w:val="24"/>
          <w:szCs w:val="24"/>
        </w:rPr>
        <w:t>interventions</w:t>
      </w:r>
      <w:r w:rsidRPr="009872B0">
        <w:rPr>
          <w:rStyle w:val="FootnoteReference"/>
          <w:rFonts w:ascii="Times New Roman" w:hAnsi="Times New Roman" w:cs="Times New Roman"/>
          <w:sz w:val="24"/>
          <w:szCs w:val="24"/>
        </w:rPr>
        <w:footnoteReference w:id="14"/>
      </w:r>
      <w:r w:rsidRPr="009872B0">
        <w:rPr>
          <w:rFonts w:ascii="Times New Roman" w:hAnsi="Times New Roman" w:cs="Times New Roman"/>
          <w:sz w:val="24"/>
          <w:szCs w:val="24"/>
        </w:rPr>
        <w:t>, closing the primary schools, closures of non-essential shops (as a partially relaxed measu</w:t>
      </w:r>
      <w:r>
        <w:rPr>
          <w:rFonts w:ascii="Times New Roman" w:hAnsi="Times New Roman" w:cs="Times New Roman"/>
          <w:sz w:val="24"/>
          <w:szCs w:val="24"/>
        </w:rPr>
        <w:t>re)</w:t>
      </w:r>
      <w:r w:rsidRPr="009872B0">
        <w:rPr>
          <w:rFonts w:ascii="Times New Roman" w:hAnsi="Times New Roman" w:cs="Times New Roman"/>
          <w:sz w:val="24"/>
          <w:szCs w:val="24"/>
        </w:rPr>
        <w:t>, restrictions on private gathering, stay-at-home orders for the general population (these are enforced and also referred to as ‘</w:t>
      </w:r>
      <w:r w:rsidRPr="009872B0">
        <w:rPr>
          <w:rFonts w:ascii="Times New Roman" w:hAnsi="Times New Roman" w:cs="Times New Roman"/>
          <w:i/>
          <w:iCs/>
          <w:sz w:val="24"/>
          <w:szCs w:val="24"/>
        </w:rPr>
        <w:t>lockdown</w:t>
      </w:r>
      <w:r w:rsidRPr="009872B0">
        <w:rPr>
          <w:rFonts w:ascii="Times New Roman" w:hAnsi="Times New Roman" w:cs="Times New Roman"/>
          <w:sz w:val="24"/>
          <w:szCs w:val="24"/>
        </w:rPr>
        <w:t>’) as a partially relaxed measure, closures of non-essential shops, mass gathering interventions i.e. interventions to limit mass/public gatherings (any interventions on mass gatherings up to 1000 participants included) and the closure of gyms and sport centers (as a partially relaxed measure) are the most impacting factors</w:t>
      </w:r>
      <w:r>
        <w:rPr>
          <w:rFonts w:ascii="Times New Roman" w:hAnsi="Times New Roman" w:cs="Times New Roman"/>
          <w:sz w:val="24"/>
          <w:szCs w:val="24"/>
        </w:rPr>
        <w:t xml:space="preserve"> </w:t>
      </w:r>
      <w:r w:rsidRPr="009872B0">
        <w:rPr>
          <w:rFonts w:ascii="Times New Roman" w:hAnsi="Times New Roman" w:cs="Times New Roman"/>
          <w:sz w:val="24"/>
          <w:szCs w:val="24"/>
        </w:rPr>
        <w:t>in containing the pandemic</w:t>
      </w:r>
      <w:r>
        <w:rPr>
          <w:rFonts w:ascii="Times New Roman" w:hAnsi="Times New Roman" w:cs="Times New Roman"/>
          <w:sz w:val="24"/>
          <w:szCs w:val="24"/>
        </w:rPr>
        <w:t xml:space="preserve"> </w:t>
      </w:r>
      <w:r>
        <w:rPr>
          <w:rFonts w:ascii="Times New Roman" w:hAnsi="Times New Roman" w:cs="Times New Roman"/>
          <w:sz w:val="24"/>
          <w:szCs w:val="24"/>
        </w:rPr>
        <w:t>growth</w:t>
      </w:r>
      <w:r w:rsidR="00203D90">
        <w:rPr>
          <w:rFonts w:ascii="Times New Roman" w:hAnsi="Times New Roman" w:cs="Times New Roman"/>
          <w:sz w:val="24"/>
          <w:szCs w:val="24"/>
        </w:rPr>
        <w:t xml:space="preserve"> </w:t>
      </w:r>
      <w:r w:rsidR="00203D90" w:rsidRPr="009872B0">
        <w:rPr>
          <w:rFonts w:ascii="Times New Roman" w:hAnsi="Times New Roman" w:cs="Times New Roman"/>
          <w:sz w:val="24"/>
          <w:szCs w:val="24"/>
        </w:rPr>
        <w:t xml:space="preserve">followed by a range of other </w:t>
      </w:r>
      <w:r w:rsidR="00203D90">
        <w:rPr>
          <w:rFonts w:ascii="Times New Roman" w:hAnsi="Times New Roman" w:cs="Times New Roman"/>
          <w:sz w:val="24"/>
          <w:szCs w:val="24"/>
        </w:rPr>
        <w:t>NPIs</w:t>
      </w:r>
      <w:r w:rsidR="00203D90" w:rsidRPr="009872B0">
        <w:rPr>
          <w:rFonts w:ascii="Times New Roman" w:hAnsi="Times New Roman" w:cs="Times New Roman"/>
          <w:sz w:val="24"/>
          <w:szCs w:val="24"/>
        </w:rPr>
        <w:t xml:space="preserve"> which can be read from the </w:t>
      </w:r>
      <w:r w:rsidR="00203D90">
        <w:rPr>
          <w:rFonts w:ascii="Times New Roman" w:hAnsi="Times New Roman" w:cs="Times New Roman"/>
          <w:sz w:val="24"/>
          <w:szCs w:val="24"/>
        </w:rPr>
        <w:t>depicted efficiency values depicted for each country in figure 7</w:t>
      </w:r>
      <w:r w:rsidR="00203D90" w:rsidRPr="009872B0">
        <w:rPr>
          <w:rFonts w:ascii="Times New Roman" w:hAnsi="Times New Roman" w:cs="Times New Roman"/>
          <w:sz w:val="24"/>
          <w:szCs w:val="24"/>
        </w:rPr>
        <w:t>.</w:t>
      </w:r>
    </w:p>
    <w:p w:rsidR="008A6B28" w:rsidRDefault="00627F83" w:rsidP="001E0CE4">
      <w:pPr>
        <w:spacing w:line="360" w:lineRule="auto"/>
        <w:jc w:val="both"/>
        <w:rPr>
          <w:rFonts w:ascii="Times New Roman" w:eastAsia="Calibri Light" w:hAnsi="Times New Roman" w:cs="Times New Roman"/>
          <w:sz w:val="24"/>
          <w:szCs w:val="24"/>
        </w:rPr>
      </w:pPr>
      <w:r w:rsidRPr="009872B0">
        <w:rPr>
          <w:rFonts w:ascii="Times New Roman" w:hAnsi="Times New Roman" w:cs="Times New Roman"/>
          <w:sz w:val="24"/>
          <w:szCs w:val="24"/>
        </w:rPr>
        <w:t xml:space="preserve">The next </w:t>
      </w:r>
      <w:r>
        <w:rPr>
          <w:rFonts w:ascii="Times New Roman" w:hAnsi="Times New Roman" w:cs="Times New Roman"/>
          <w:sz w:val="24"/>
          <w:szCs w:val="24"/>
        </w:rPr>
        <w:t>relative efficient</w:t>
      </w:r>
      <w:r w:rsidRPr="009872B0">
        <w:rPr>
          <w:rFonts w:ascii="Times New Roman" w:hAnsi="Times New Roman" w:cs="Times New Roman"/>
          <w:sz w:val="24"/>
          <w:szCs w:val="24"/>
        </w:rPr>
        <w:t xml:space="preserve"> intervention, which to some extent stands out is </w:t>
      </w:r>
      <w:proofErr w:type="spellStart"/>
      <w:r w:rsidRPr="009872B0">
        <w:rPr>
          <w:rFonts w:ascii="Times New Roman" w:hAnsi="Times New Roman" w:cs="Times New Roman"/>
          <w:i/>
          <w:iCs/>
          <w:sz w:val="24"/>
          <w:szCs w:val="24"/>
        </w:rPr>
        <w:t>MasksMandatoryAllSpaces</w:t>
      </w:r>
      <w:proofErr w:type="spellEnd"/>
      <w:r w:rsidRPr="009872B0">
        <w:rPr>
          <w:rFonts w:ascii="Times New Roman" w:hAnsi="Times New Roman" w:cs="Times New Roman"/>
          <w:i/>
          <w:iCs/>
          <w:sz w:val="24"/>
          <w:szCs w:val="24"/>
        </w:rPr>
        <w:t xml:space="preserve">, </w:t>
      </w:r>
      <w:r w:rsidRPr="009872B0">
        <w:rPr>
          <w:rFonts w:ascii="Times New Roman" w:hAnsi="Times New Roman" w:cs="Times New Roman"/>
          <w:sz w:val="24"/>
          <w:szCs w:val="24"/>
        </w:rPr>
        <w:t xml:space="preserve">which is encompassing the protective mask usage in all public spaces on mandatory basis (enforced by law). In contrast it is peculiar that the factor </w:t>
      </w:r>
      <w:proofErr w:type="spellStart"/>
      <w:r w:rsidRPr="009872B0">
        <w:rPr>
          <w:rFonts w:ascii="Times New Roman" w:hAnsi="Times New Roman" w:cs="Times New Roman"/>
          <w:sz w:val="24"/>
          <w:szCs w:val="24"/>
        </w:rPr>
        <w:t>MasksMandatoryClosedSpaces</w:t>
      </w:r>
      <w:proofErr w:type="spellEnd"/>
      <w:r w:rsidRPr="009872B0">
        <w:rPr>
          <w:rFonts w:ascii="Times New Roman" w:hAnsi="Times New Roman" w:cs="Times New Roman"/>
          <w:sz w:val="24"/>
          <w:szCs w:val="24"/>
        </w:rPr>
        <w:t xml:space="preserve"> representing protective mask use in closed public spaces/transport on mandatory basis (enforced by law) is just revealing </w:t>
      </w:r>
      <w:r w:rsidR="00C62AC5">
        <w:rPr>
          <w:rFonts w:ascii="Times New Roman" w:hAnsi="Times New Roman" w:cs="Times New Roman"/>
          <w:sz w:val="24"/>
          <w:szCs w:val="24"/>
        </w:rPr>
        <w:t>efficiencies under 50 percent efficiency values</w:t>
      </w:r>
      <w:r>
        <w:rPr>
          <w:rFonts w:ascii="Times New Roman" w:hAnsi="Times New Roman" w:cs="Times New Roman"/>
          <w:sz w:val="24"/>
          <w:szCs w:val="24"/>
        </w:rPr>
        <w:t xml:space="preserve"> in the most of the countries.</w:t>
      </w:r>
      <w:r>
        <w:rPr>
          <w:rFonts w:ascii="Times New Roman" w:hAnsi="Times New Roman" w:cs="Times New Roman"/>
          <w:sz w:val="24"/>
          <w:szCs w:val="24"/>
        </w:rPr>
        <w:br/>
      </w:r>
      <w:r w:rsidR="001E0CE4">
        <w:rPr>
          <w:rFonts w:ascii="Times New Roman" w:eastAsia="Calibri Light" w:hAnsi="Times New Roman" w:cs="Times New Roman"/>
          <w:sz w:val="24"/>
          <w:szCs w:val="24"/>
        </w:rPr>
        <w:t>T</w:t>
      </w:r>
      <w:r w:rsidRPr="009872B0">
        <w:rPr>
          <w:rFonts w:ascii="Times New Roman" w:eastAsia="Calibri Light" w:hAnsi="Times New Roman" w:cs="Times New Roman"/>
          <w:sz w:val="24"/>
          <w:szCs w:val="24"/>
        </w:rPr>
        <w:t xml:space="preserve">he relative critical efficacy of mask mandates in </w:t>
      </w:r>
      <w:r w:rsidRPr="00550248">
        <w:rPr>
          <w:rFonts w:ascii="Times New Roman" w:eastAsia="Calibri Light" w:hAnsi="Times New Roman" w:cs="Times New Roman"/>
          <w:i/>
          <w:iCs/>
          <w:sz w:val="24"/>
          <w:szCs w:val="24"/>
        </w:rPr>
        <w:t>closed</w:t>
      </w:r>
      <w:r w:rsidRPr="009872B0">
        <w:rPr>
          <w:rFonts w:ascii="Times New Roman" w:eastAsia="Calibri Light" w:hAnsi="Times New Roman" w:cs="Times New Roman"/>
          <w:sz w:val="24"/>
          <w:szCs w:val="24"/>
        </w:rPr>
        <w:t xml:space="preserve"> space</w:t>
      </w:r>
      <w:r w:rsidRPr="009872B0">
        <w:rPr>
          <w:rFonts w:ascii="Times New Roman" w:hAnsi="Times New Roman" w:cs="Times New Roman"/>
          <w:sz w:val="24"/>
          <w:szCs w:val="24"/>
        </w:rPr>
        <w:t xml:space="preserve"> might offer further researches to elaborate more on the role of mask mandates to control the pandemic. </w:t>
      </w:r>
      <w:r w:rsidRPr="009872B0">
        <w:rPr>
          <w:rFonts w:ascii="Times New Roman" w:eastAsia="Calibri Light" w:hAnsi="Times New Roman" w:cs="Times New Roman"/>
          <w:sz w:val="24"/>
          <w:szCs w:val="24"/>
        </w:rPr>
        <w:t>While the effects of government mask mandates in the literature are</w:t>
      </w:r>
      <w:r>
        <w:rPr>
          <w:rFonts w:ascii="Times New Roman" w:eastAsia="Calibri Light" w:hAnsi="Times New Roman" w:cs="Times New Roman"/>
          <w:sz w:val="24"/>
          <w:szCs w:val="24"/>
        </w:rPr>
        <w:t xml:space="preserve"> to some extent</w:t>
      </w:r>
      <w:r w:rsidRPr="009872B0">
        <w:rPr>
          <w:rFonts w:ascii="Times New Roman" w:eastAsia="Calibri Light" w:hAnsi="Times New Roman" w:cs="Times New Roman"/>
          <w:sz w:val="24"/>
          <w:szCs w:val="24"/>
        </w:rPr>
        <w:t xml:space="preserve"> inconsistent (</w:t>
      </w:r>
      <w:r w:rsidRPr="00F33902">
        <w:rPr>
          <w:rFonts w:ascii="Times New Roman" w:eastAsia="Calibri Light" w:hAnsi="Times New Roman" w:cs="Times New Roman"/>
          <w:sz w:val="24"/>
          <w:szCs w:val="24"/>
        </w:rPr>
        <w:t>Leech et. al., 2022</w:t>
      </w:r>
      <w:r w:rsidRPr="009872B0">
        <w:rPr>
          <w:rFonts w:ascii="Times New Roman" w:eastAsia="Calibri Light" w:hAnsi="Times New Roman" w:cs="Times New Roman"/>
          <w:sz w:val="24"/>
          <w:szCs w:val="24"/>
        </w:rPr>
        <w:t xml:space="preserve">), the </w:t>
      </w:r>
      <w:r w:rsidRPr="009872B0">
        <w:rPr>
          <w:rFonts w:ascii="Times New Roman" w:eastAsia="Calibri Light" w:hAnsi="Times New Roman" w:cs="Times New Roman"/>
          <w:i/>
          <w:iCs/>
          <w:sz w:val="24"/>
          <w:szCs w:val="24"/>
        </w:rPr>
        <w:t>partially</w:t>
      </w:r>
      <w:r w:rsidRPr="009872B0">
        <w:rPr>
          <w:rFonts w:ascii="Times New Roman" w:eastAsia="Calibri Light" w:hAnsi="Times New Roman" w:cs="Times New Roman"/>
          <w:sz w:val="24"/>
          <w:szCs w:val="24"/>
        </w:rPr>
        <w:t xml:space="preserve"> inconstant result regarding mask mandates in </w:t>
      </w:r>
      <w:r w:rsidRPr="009872B0">
        <w:rPr>
          <w:rFonts w:ascii="Times New Roman" w:eastAsia="Calibri Light" w:hAnsi="Times New Roman" w:cs="Times New Roman"/>
          <w:i/>
          <w:iCs/>
          <w:sz w:val="24"/>
          <w:szCs w:val="24"/>
        </w:rPr>
        <w:t>closed</w:t>
      </w:r>
      <w:r w:rsidR="001E0CE4">
        <w:rPr>
          <w:rFonts w:ascii="Times New Roman" w:eastAsia="Calibri Light" w:hAnsi="Times New Roman" w:cs="Times New Roman"/>
          <w:sz w:val="24"/>
          <w:szCs w:val="24"/>
        </w:rPr>
        <w:t xml:space="preserve"> spaces in figure 7</w:t>
      </w:r>
      <w:r w:rsidRPr="009872B0">
        <w:rPr>
          <w:rFonts w:ascii="Times New Roman" w:eastAsia="Calibri Light" w:hAnsi="Times New Roman" w:cs="Times New Roman"/>
          <w:sz w:val="24"/>
          <w:szCs w:val="24"/>
        </w:rPr>
        <w:t xml:space="preserve"> might be further examined. Thereby, there exists some hypothesis that enforcing masks works if and only when entire or at least a certain mass of the society becomes committed to it and it becomes significantly inefficient if it is prescribed or obeyed partially (</w:t>
      </w:r>
      <w:r w:rsidRPr="00F33902">
        <w:rPr>
          <w:rFonts w:ascii="Times New Roman" w:eastAsia="Calibri Light" w:hAnsi="Times New Roman" w:cs="Times New Roman"/>
          <w:sz w:val="24"/>
          <w:szCs w:val="24"/>
        </w:rPr>
        <w:t>Kai et.al., 2020</w:t>
      </w:r>
      <w:r w:rsidRPr="009872B0">
        <w:rPr>
          <w:rFonts w:ascii="Times New Roman" w:eastAsia="Calibri Light" w:hAnsi="Times New Roman" w:cs="Times New Roman"/>
          <w:sz w:val="24"/>
          <w:szCs w:val="24"/>
        </w:rPr>
        <w:t>) or if the observed levels of mask wearing in closed spaces are critical (</w:t>
      </w:r>
      <w:r w:rsidRPr="00F33902">
        <w:rPr>
          <w:rFonts w:ascii="Times New Roman" w:eastAsia="Calibri Light" w:hAnsi="Times New Roman" w:cs="Times New Roman"/>
          <w:sz w:val="24"/>
          <w:szCs w:val="24"/>
        </w:rPr>
        <w:t>Leech et. al., 2022</w:t>
      </w:r>
      <w:r w:rsidRPr="009872B0">
        <w:rPr>
          <w:rFonts w:ascii="Times New Roman" w:eastAsia="Calibri Light" w:hAnsi="Times New Roman" w:cs="Times New Roman"/>
          <w:sz w:val="24"/>
          <w:szCs w:val="24"/>
        </w:rPr>
        <w:t xml:space="preserve">). Some other hypothesis might raise the question of effectiveness of mask mandates in regions where commitment to face </w:t>
      </w:r>
      <w:r w:rsidRPr="009872B0">
        <w:rPr>
          <w:rFonts w:ascii="Times New Roman" w:eastAsia="Calibri Light" w:hAnsi="Times New Roman" w:cs="Times New Roman"/>
          <w:sz w:val="24"/>
          <w:szCs w:val="24"/>
        </w:rPr>
        <w:lastRenderedPageBreak/>
        <w:t>masks lacks cultural background (</w:t>
      </w:r>
      <w:r w:rsidRPr="00F33902">
        <w:rPr>
          <w:rFonts w:ascii="Times New Roman" w:eastAsia="Calibri Light" w:hAnsi="Times New Roman" w:cs="Times New Roman"/>
          <w:sz w:val="24"/>
          <w:szCs w:val="24"/>
        </w:rPr>
        <w:t>Barceló &amp; Sheen, 2020</w:t>
      </w:r>
      <w:r w:rsidRPr="009872B0">
        <w:rPr>
          <w:rFonts w:ascii="Times New Roman" w:eastAsia="Calibri Light" w:hAnsi="Times New Roman" w:cs="Times New Roman"/>
          <w:sz w:val="24"/>
          <w:szCs w:val="24"/>
        </w:rPr>
        <w:t xml:space="preserve">). Despite that conjectures, examining the predicted non efficiency of mask mandates in </w:t>
      </w:r>
      <w:r w:rsidRPr="009872B0">
        <w:rPr>
          <w:rFonts w:ascii="Times New Roman" w:eastAsia="Calibri Light" w:hAnsi="Times New Roman" w:cs="Times New Roman"/>
          <w:i/>
          <w:iCs/>
          <w:sz w:val="24"/>
          <w:szCs w:val="24"/>
        </w:rPr>
        <w:t>closed spaces</w:t>
      </w:r>
      <w:r w:rsidRPr="009872B0">
        <w:rPr>
          <w:rFonts w:ascii="Times New Roman" w:eastAsia="Calibri Light" w:hAnsi="Times New Roman" w:cs="Times New Roman"/>
          <w:sz w:val="24"/>
          <w:szCs w:val="24"/>
        </w:rPr>
        <w:t xml:space="preserve"> despite the high efficiency of </w:t>
      </w:r>
      <w:r w:rsidRPr="009872B0">
        <w:rPr>
          <w:rFonts w:ascii="Times New Roman" w:eastAsia="Calibri Light" w:hAnsi="Times New Roman" w:cs="Times New Roman"/>
          <w:i/>
          <w:iCs/>
          <w:sz w:val="24"/>
          <w:szCs w:val="24"/>
        </w:rPr>
        <w:t>all spaces</w:t>
      </w:r>
      <w:r w:rsidRPr="009872B0">
        <w:rPr>
          <w:rFonts w:ascii="Times New Roman" w:eastAsia="Calibri Light" w:hAnsi="Times New Roman" w:cs="Times New Roman"/>
          <w:sz w:val="24"/>
          <w:szCs w:val="24"/>
        </w:rPr>
        <w:t xml:space="preserve"> mask mandates might not be explained completely based on the abo</w:t>
      </w:r>
      <w:r>
        <w:rPr>
          <w:rFonts w:ascii="Times New Roman" w:eastAsia="Calibri Light" w:hAnsi="Times New Roman" w:cs="Times New Roman"/>
          <w:sz w:val="24"/>
          <w:szCs w:val="24"/>
        </w:rPr>
        <w:t xml:space="preserve">ve mentioned hypothesis nor </w:t>
      </w:r>
      <w:r w:rsidRPr="009872B0">
        <w:rPr>
          <w:rFonts w:ascii="Times New Roman" w:eastAsia="Calibri Light" w:hAnsi="Times New Roman" w:cs="Times New Roman"/>
          <w:sz w:val="24"/>
          <w:szCs w:val="24"/>
        </w:rPr>
        <w:t xml:space="preserve">within the framework of our </w:t>
      </w:r>
      <w:r>
        <w:rPr>
          <w:rFonts w:ascii="Times New Roman" w:eastAsia="Calibri Light" w:hAnsi="Times New Roman" w:cs="Times New Roman"/>
          <w:sz w:val="24"/>
          <w:szCs w:val="24"/>
        </w:rPr>
        <w:t>analysis method</w:t>
      </w:r>
      <w:r w:rsidRPr="009872B0">
        <w:rPr>
          <w:rFonts w:ascii="Times New Roman" w:eastAsia="Calibri Light" w:hAnsi="Times New Roman" w:cs="Times New Roman"/>
          <w:sz w:val="24"/>
          <w:szCs w:val="24"/>
        </w:rPr>
        <w:t>. This might need more illuminations</w:t>
      </w:r>
      <w:r w:rsidR="00DF2F8E">
        <w:rPr>
          <w:rFonts w:ascii="Times New Roman" w:eastAsia="Calibri Light" w:hAnsi="Times New Roman" w:cs="Times New Roman"/>
          <w:sz w:val="24"/>
          <w:szCs w:val="24"/>
        </w:rPr>
        <w:t xml:space="preserve">. </w:t>
      </w:r>
    </w:p>
    <w:p w:rsidR="00B23517" w:rsidRDefault="00B23517" w:rsidP="00C30E84">
      <w:pPr>
        <w:spacing w:line="360" w:lineRule="auto"/>
        <w:jc w:val="both"/>
        <w:rPr>
          <w:rFonts w:ascii="Times New Roman" w:eastAsia="Calibri Light" w:hAnsi="Times New Roman" w:cs="Times New Roman"/>
          <w:sz w:val="24"/>
          <w:szCs w:val="24"/>
        </w:rPr>
      </w:pPr>
      <w:r>
        <w:rPr>
          <w:rFonts w:ascii="Times New Roman" w:eastAsia="Calibri Light" w:hAnsi="Times New Roman" w:cs="Times New Roman"/>
          <w:sz w:val="24"/>
          <w:szCs w:val="24"/>
        </w:rPr>
        <w:t>In order to summarize the experiences of the entire 30 studied countries</w:t>
      </w:r>
      <w:r w:rsidR="008D77E2">
        <w:rPr>
          <w:rFonts w:ascii="Times New Roman" w:eastAsia="Calibri Light" w:hAnsi="Times New Roman" w:cs="Times New Roman"/>
          <w:sz w:val="24"/>
          <w:szCs w:val="24"/>
        </w:rPr>
        <w:t xml:space="preserve"> the average of the average efficiencies for each explanatory variables are computed and demonstrated in the figure 8.</w:t>
      </w:r>
      <w:r w:rsidR="00262EE5">
        <w:rPr>
          <w:rFonts w:ascii="Times New Roman" w:eastAsia="Calibri Light" w:hAnsi="Times New Roman" w:cs="Times New Roman"/>
          <w:sz w:val="24"/>
          <w:szCs w:val="24"/>
        </w:rPr>
        <w:t xml:space="preserve"> </w:t>
      </w:r>
      <w:r w:rsidR="00262EE5" w:rsidRPr="009872B0">
        <w:rPr>
          <w:rFonts w:ascii="Times New Roman" w:eastAsia="Times New Roman" w:hAnsi="Times New Roman" w:cs="Times New Roman"/>
          <w:sz w:val="24"/>
          <w:szCs w:val="24"/>
        </w:rPr>
        <w:t xml:space="preserve">Due to the high length of the </w:t>
      </w:r>
      <w:r w:rsidR="00262EE5">
        <w:rPr>
          <w:rFonts w:ascii="Times New Roman" w:eastAsia="Times New Roman" w:hAnsi="Times New Roman" w:cs="Times New Roman"/>
          <w:sz w:val="24"/>
          <w:szCs w:val="24"/>
        </w:rPr>
        <w:t>factor</w:t>
      </w:r>
      <w:r w:rsidR="00262EE5" w:rsidRPr="009872B0">
        <w:rPr>
          <w:rFonts w:ascii="Times New Roman" w:eastAsia="Times New Roman" w:hAnsi="Times New Roman" w:cs="Times New Roman"/>
          <w:sz w:val="24"/>
          <w:szCs w:val="24"/>
        </w:rPr>
        <w:t xml:space="preserve"> numbers, the resulted </w:t>
      </w:r>
      <w:r w:rsidR="00262EE5">
        <w:rPr>
          <w:rFonts w:ascii="Times New Roman" w:eastAsia="Times New Roman" w:hAnsi="Times New Roman" w:cs="Times New Roman"/>
          <w:i/>
          <w:iCs/>
          <w:sz w:val="24"/>
          <w:szCs w:val="24"/>
        </w:rPr>
        <w:t>averaged efficiency</w:t>
      </w:r>
      <w:r w:rsidR="00262EE5" w:rsidRPr="009872B0">
        <w:rPr>
          <w:rFonts w:ascii="Times New Roman" w:eastAsia="Times New Roman" w:hAnsi="Times New Roman" w:cs="Times New Roman"/>
          <w:sz w:val="24"/>
          <w:szCs w:val="24"/>
        </w:rPr>
        <w:t xml:space="preserve"> terms in figure </w:t>
      </w:r>
      <w:r w:rsidR="00262EE5">
        <w:rPr>
          <w:rFonts w:ascii="Times New Roman" w:eastAsia="Times New Roman" w:hAnsi="Times New Roman" w:cs="Times New Roman"/>
          <w:sz w:val="24"/>
          <w:szCs w:val="24"/>
        </w:rPr>
        <w:t>8</w:t>
      </w:r>
      <w:r w:rsidR="00262EE5" w:rsidRPr="009872B0">
        <w:rPr>
          <w:rFonts w:ascii="Times New Roman" w:eastAsia="Times New Roman" w:hAnsi="Times New Roman" w:cs="Times New Roman"/>
          <w:sz w:val="24"/>
          <w:szCs w:val="24"/>
        </w:rPr>
        <w:t xml:space="preserve"> are presented in two side by side panel</w:t>
      </w:r>
      <w:r w:rsidR="00262EE5">
        <w:rPr>
          <w:rFonts w:ascii="Times New Roman" w:eastAsia="Times New Roman" w:hAnsi="Times New Roman" w:cs="Times New Roman"/>
          <w:sz w:val="24"/>
          <w:szCs w:val="24"/>
        </w:rPr>
        <w:t>s</w:t>
      </w:r>
      <w:r w:rsidR="00262EE5" w:rsidRPr="009872B0">
        <w:rPr>
          <w:rFonts w:ascii="Times New Roman" w:eastAsia="Times New Roman" w:hAnsi="Times New Roman" w:cs="Times New Roman"/>
          <w:sz w:val="24"/>
          <w:szCs w:val="24"/>
        </w:rPr>
        <w:t>. The right panel is indeed the continuation of the left hand side one.</w:t>
      </w:r>
      <w:r w:rsidR="00262EE5">
        <w:rPr>
          <w:rFonts w:ascii="Times New Roman" w:eastAsia="Times New Roman" w:hAnsi="Times New Roman" w:cs="Times New Roman"/>
          <w:sz w:val="24"/>
          <w:szCs w:val="24"/>
        </w:rPr>
        <w:t xml:space="preserve"> Thereby, the factors within the left hand side panel are those who are characterized by under 50 percent efficiency values and can be labeled as </w:t>
      </w:r>
      <w:r w:rsidR="00262EE5" w:rsidRPr="00C62AC5">
        <w:rPr>
          <w:rFonts w:ascii="Times New Roman" w:hAnsi="Times New Roman" w:cs="Times New Roman"/>
          <w:i/>
          <w:iCs/>
          <w:sz w:val="24"/>
          <w:szCs w:val="24"/>
        </w:rPr>
        <w:t>effective</w:t>
      </w:r>
      <w:r w:rsidR="00262EE5">
        <w:rPr>
          <w:rFonts w:ascii="Times New Roman" w:hAnsi="Times New Roman" w:cs="Times New Roman"/>
          <w:sz w:val="24"/>
          <w:szCs w:val="24"/>
        </w:rPr>
        <w:t xml:space="preserve"> with regard to the pandemic </w:t>
      </w:r>
      <w:r w:rsidR="00262EE5" w:rsidRPr="00C62AC5">
        <w:rPr>
          <w:rFonts w:ascii="Times New Roman" w:hAnsi="Times New Roman" w:cs="Times New Roman"/>
          <w:i/>
          <w:iCs/>
          <w:sz w:val="24"/>
          <w:szCs w:val="24"/>
        </w:rPr>
        <w:t>progression</w:t>
      </w:r>
      <w:r w:rsidR="00262EE5">
        <w:rPr>
          <w:rFonts w:ascii="Times New Roman" w:eastAsia="Times New Roman" w:hAnsi="Times New Roman" w:cs="Times New Roman"/>
          <w:sz w:val="24"/>
          <w:szCs w:val="24"/>
        </w:rPr>
        <w:t>. In contrast, the</w:t>
      </w:r>
      <w:r w:rsidR="0050403C">
        <w:rPr>
          <w:rFonts w:ascii="Times New Roman" w:eastAsia="Times New Roman" w:hAnsi="Times New Roman" w:cs="Times New Roman"/>
          <w:sz w:val="24"/>
          <w:szCs w:val="24"/>
        </w:rPr>
        <w:t xml:space="preserve"> </w:t>
      </w:r>
      <w:r w:rsidR="0050403C">
        <w:rPr>
          <w:rFonts w:ascii="Times New Roman" w:eastAsia="Times New Roman" w:hAnsi="Times New Roman" w:cs="Times New Roman"/>
          <w:sz w:val="24"/>
          <w:szCs w:val="24"/>
        </w:rPr>
        <w:t xml:space="preserve">factors within the </w:t>
      </w:r>
      <w:r w:rsidR="0050403C">
        <w:rPr>
          <w:rFonts w:ascii="Times New Roman" w:eastAsia="Times New Roman" w:hAnsi="Times New Roman" w:cs="Times New Roman"/>
          <w:sz w:val="24"/>
          <w:szCs w:val="24"/>
        </w:rPr>
        <w:t>right</w:t>
      </w:r>
      <w:r w:rsidR="0050403C">
        <w:rPr>
          <w:rFonts w:ascii="Times New Roman" w:eastAsia="Times New Roman" w:hAnsi="Times New Roman" w:cs="Times New Roman"/>
          <w:sz w:val="24"/>
          <w:szCs w:val="24"/>
        </w:rPr>
        <w:t xml:space="preserve"> hand side panel are those who are characterized by </w:t>
      </w:r>
      <w:r w:rsidR="0050403C">
        <w:rPr>
          <w:rFonts w:ascii="Times New Roman" w:eastAsia="Times New Roman" w:hAnsi="Times New Roman" w:cs="Times New Roman"/>
          <w:sz w:val="24"/>
          <w:szCs w:val="24"/>
        </w:rPr>
        <w:t>larger than</w:t>
      </w:r>
      <w:r w:rsidR="0050403C">
        <w:rPr>
          <w:rFonts w:ascii="Times New Roman" w:eastAsia="Times New Roman" w:hAnsi="Times New Roman" w:cs="Times New Roman"/>
          <w:sz w:val="24"/>
          <w:szCs w:val="24"/>
        </w:rPr>
        <w:t xml:space="preserve"> 50 percent efficiency values and can be labeled as </w:t>
      </w:r>
      <w:r w:rsidR="0050403C" w:rsidRPr="00C62AC5">
        <w:rPr>
          <w:rFonts w:ascii="Times New Roman" w:hAnsi="Times New Roman" w:cs="Times New Roman"/>
          <w:i/>
          <w:iCs/>
          <w:sz w:val="24"/>
          <w:szCs w:val="24"/>
        </w:rPr>
        <w:t>effective</w:t>
      </w:r>
      <w:r w:rsidR="0050403C">
        <w:rPr>
          <w:rFonts w:ascii="Times New Roman" w:hAnsi="Times New Roman" w:cs="Times New Roman"/>
          <w:sz w:val="24"/>
          <w:szCs w:val="24"/>
        </w:rPr>
        <w:t xml:space="preserve"> with regard to the pandemic </w:t>
      </w:r>
      <w:r w:rsidR="0050403C">
        <w:rPr>
          <w:rFonts w:ascii="Times New Roman" w:hAnsi="Times New Roman" w:cs="Times New Roman"/>
          <w:i/>
          <w:iCs/>
          <w:sz w:val="24"/>
          <w:szCs w:val="24"/>
        </w:rPr>
        <w:t>control</w:t>
      </w:r>
      <w:r w:rsidR="0050403C">
        <w:rPr>
          <w:rFonts w:ascii="Times New Roman" w:eastAsia="Times New Roman" w:hAnsi="Times New Roman" w:cs="Times New Roman"/>
          <w:sz w:val="24"/>
          <w:szCs w:val="24"/>
        </w:rPr>
        <w:t>.</w:t>
      </w:r>
      <w:r w:rsidR="00262D8E">
        <w:rPr>
          <w:rFonts w:ascii="Times New Roman" w:eastAsia="Times New Roman" w:hAnsi="Times New Roman" w:cs="Times New Roman"/>
          <w:sz w:val="24"/>
          <w:szCs w:val="24"/>
        </w:rPr>
        <w:t xml:space="preserve"> </w:t>
      </w:r>
      <w:r w:rsidR="00262EE5" w:rsidRPr="009872B0">
        <w:rPr>
          <w:rFonts w:ascii="Times New Roman" w:eastAsia="Times New Roman" w:hAnsi="Times New Roman" w:cs="Times New Roman"/>
          <w:sz w:val="24"/>
          <w:szCs w:val="24"/>
        </w:rPr>
        <w:t>Hence,</w:t>
      </w:r>
      <w:r w:rsidR="0050403C">
        <w:rPr>
          <w:rFonts w:ascii="Times New Roman" w:eastAsia="Times New Roman" w:hAnsi="Times New Roman" w:cs="Times New Roman"/>
          <w:sz w:val="24"/>
          <w:szCs w:val="24"/>
        </w:rPr>
        <w:t xml:space="preserve"> the factors</w:t>
      </w:r>
      <w:r w:rsidR="00262EE5" w:rsidRPr="009872B0">
        <w:rPr>
          <w:rFonts w:ascii="Times New Roman" w:eastAsia="Times New Roman" w:hAnsi="Times New Roman" w:cs="Times New Roman"/>
          <w:sz w:val="24"/>
          <w:szCs w:val="24"/>
        </w:rPr>
        <w:t xml:space="preserve"> at the button of the left hand side panel</w:t>
      </w:r>
      <w:r w:rsidR="00C30E84">
        <w:rPr>
          <w:rFonts w:ascii="Times New Roman" w:eastAsia="Times New Roman" w:hAnsi="Times New Roman" w:cs="Times New Roman"/>
          <w:sz w:val="24"/>
          <w:szCs w:val="24"/>
        </w:rPr>
        <w:t xml:space="preserve"> (e.g. the season Autumn or the omicron variant)</w:t>
      </w:r>
      <w:r w:rsidR="00262EE5" w:rsidRPr="009872B0">
        <w:rPr>
          <w:rFonts w:ascii="Times New Roman" w:eastAsia="Times New Roman" w:hAnsi="Times New Roman" w:cs="Times New Roman"/>
          <w:sz w:val="24"/>
          <w:szCs w:val="24"/>
        </w:rPr>
        <w:t xml:space="preserve"> can be interpreted as the ones with </w:t>
      </w:r>
      <w:r w:rsidR="0050403C">
        <w:rPr>
          <w:rFonts w:ascii="Times New Roman" w:eastAsia="Times New Roman" w:hAnsi="Times New Roman" w:cs="Times New Roman"/>
          <w:sz w:val="24"/>
          <w:szCs w:val="24"/>
        </w:rPr>
        <w:t xml:space="preserve">the largest pandemic progression efficacy and the factors </w:t>
      </w:r>
      <w:r w:rsidR="00262EE5" w:rsidRPr="009872B0">
        <w:rPr>
          <w:rFonts w:ascii="Times New Roman" w:eastAsia="Times New Roman" w:hAnsi="Times New Roman" w:cs="Times New Roman"/>
          <w:sz w:val="24"/>
          <w:szCs w:val="24"/>
        </w:rPr>
        <w:t>at the top levels of the right hand side panel</w:t>
      </w:r>
      <w:r w:rsidR="00C30E84">
        <w:rPr>
          <w:rFonts w:ascii="Times New Roman" w:eastAsia="Times New Roman" w:hAnsi="Times New Roman" w:cs="Times New Roman"/>
          <w:sz w:val="24"/>
          <w:szCs w:val="24"/>
        </w:rPr>
        <w:t xml:space="preserve"> e.g. the season Spring and the alpha variant)</w:t>
      </w:r>
      <w:r w:rsidR="00262EE5" w:rsidRPr="009872B0">
        <w:rPr>
          <w:rFonts w:ascii="Times New Roman" w:eastAsia="Times New Roman" w:hAnsi="Times New Roman" w:cs="Times New Roman"/>
          <w:sz w:val="24"/>
          <w:szCs w:val="24"/>
        </w:rPr>
        <w:t xml:space="preserve"> can be interpreted as the ones with the largest </w:t>
      </w:r>
      <w:r w:rsidR="0050403C">
        <w:rPr>
          <w:rFonts w:ascii="Times New Roman" w:eastAsia="Times New Roman" w:hAnsi="Times New Roman" w:cs="Times New Roman"/>
          <w:sz w:val="24"/>
          <w:szCs w:val="24"/>
        </w:rPr>
        <w:t xml:space="preserve">pandemic </w:t>
      </w:r>
      <w:r w:rsidR="00262D8E">
        <w:rPr>
          <w:rFonts w:ascii="Times New Roman" w:eastAsia="Times New Roman" w:hAnsi="Times New Roman" w:cs="Times New Roman"/>
          <w:sz w:val="24"/>
          <w:szCs w:val="24"/>
        </w:rPr>
        <w:t>control</w:t>
      </w:r>
      <w:r w:rsidR="0050403C">
        <w:rPr>
          <w:rFonts w:ascii="Times New Roman" w:eastAsia="Times New Roman" w:hAnsi="Times New Roman" w:cs="Times New Roman"/>
          <w:sz w:val="24"/>
          <w:szCs w:val="24"/>
        </w:rPr>
        <w:t xml:space="preserve"> efficacy</w:t>
      </w:r>
      <w:r w:rsidR="00262EE5" w:rsidRPr="009872B0">
        <w:rPr>
          <w:rFonts w:ascii="Times New Roman" w:eastAsia="Times New Roman" w:hAnsi="Times New Roman" w:cs="Times New Roman"/>
          <w:sz w:val="24"/>
          <w:szCs w:val="24"/>
        </w:rPr>
        <w:t>.</w:t>
      </w:r>
    </w:p>
    <w:p w:rsidR="009F43A1" w:rsidRPr="00686E2C" w:rsidRDefault="009F43A1" w:rsidP="009F43A1">
      <w:pPr>
        <w:pStyle w:val="Caption"/>
        <w:rPr>
          <w:rFonts w:ascii="Times New Roman" w:hAnsi="Times New Roman" w:cs="Times New Roman"/>
          <w:i w:val="0"/>
          <w:iCs w:val="0"/>
          <w:sz w:val="20"/>
          <w:szCs w:val="20"/>
        </w:rPr>
      </w:pPr>
      <w:r w:rsidRPr="009F43A1">
        <w:rPr>
          <w:rFonts w:ascii="Times New Roman" w:hAnsi="Times New Roman" w:cs="Times New Roman"/>
          <w:sz w:val="20"/>
          <w:szCs w:val="20"/>
        </w:rPr>
        <w:lastRenderedPageBreak/>
        <w:drawing>
          <wp:inline distT="0" distB="0" distL="0" distR="0" wp14:anchorId="7B89AB7D" wp14:editId="21BB6BC0">
            <wp:extent cx="6880860" cy="459486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BEBA8EAE-BF5A-486C-A8C5-ECC9F3942E4B}">
                          <a14:imgProps xmlns:a14="http://schemas.microsoft.com/office/drawing/2010/main">
                            <a14:imgLayer r:embed="rId39">
                              <a14:imgEffect>
                                <a14:sharpenSoften amount="25000"/>
                              </a14:imgEffect>
                            </a14:imgLayer>
                          </a14:imgProps>
                        </a:ext>
                      </a:extLst>
                    </a:blip>
                    <a:stretch>
                      <a:fillRect/>
                    </a:stretch>
                  </pic:blipFill>
                  <pic:spPr>
                    <a:xfrm>
                      <a:off x="0" y="0"/>
                      <a:ext cx="6880860" cy="4594860"/>
                    </a:xfrm>
                    <a:prstGeom prst="rect">
                      <a:avLst/>
                    </a:prstGeom>
                  </pic:spPr>
                </pic:pic>
              </a:graphicData>
            </a:graphic>
          </wp:inline>
        </w:drawing>
      </w:r>
      <w:r w:rsidRPr="009F43A1">
        <w:rPr>
          <w:rFonts w:ascii="Times New Roman" w:hAnsi="Times New Roman" w:cs="Times New Roman"/>
          <w:i w:val="0"/>
          <w:iCs w:val="0"/>
          <w:sz w:val="20"/>
          <w:szCs w:val="20"/>
        </w:rPr>
        <w:t xml:space="preserve"> </w:t>
      </w:r>
      <w:r>
        <w:rPr>
          <w:rFonts w:ascii="Times New Roman" w:hAnsi="Times New Roman" w:cs="Times New Roman"/>
          <w:i w:val="0"/>
          <w:iCs w:val="0"/>
          <w:sz w:val="20"/>
          <w:szCs w:val="20"/>
        </w:rPr>
        <w:t>Figure 8</w:t>
      </w:r>
      <w:r w:rsidRPr="00686E2C">
        <w:rPr>
          <w:rFonts w:ascii="Times New Roman" w:hAnsi="Times New Roman" w:cs="Times New Roman"/>
          <w:i w:val="0"/>
          <w:iCs w:val="0"/>
          <w:sz w:val="20"/>
          <w:szCs w:val="20"/>
        </w:rPr>
        <w:t xml:space="preserve"> (h</w:t>
      </w:r>
      <w:r w:rsidR="007A39CB">
        <w:rPr>
          <w:rFonts w:ascii="Times New Roman" w:hAnsi="Times New Roman" w:cs="Times New Roman"/>
          <w:i w:val="0"/>
          <w:iCs w:val="0"/>
          <w:sz w:val="20"/>
          <w:szCs w:val="20"/>
        </w:rPr>
        <w:t xml:space="preserve">igh </w:t>
      </w:r>
      <w:r w:rsidRPr="00686E2C">
        <w:rPr>
          <w:rFonts w:ascii="Times New Roman" w:hAnsi="Times New Roman" w:cs="Times New Roman"/>
          <w:i w:val="0"/>
          <w:iCs w:val="0"/>
          <w:sz w:val="20"/>
          <w:szCs w:val="20"/>
        </w:rPr>
        <w:t>resolution image)</w:t>
      </w:r>
      <w:r w:rsidRPr="00686E2C">
        <w:rPr>
          <w:rFonts w:ascii="Times New Roman" w:hAnsi="Times New Roman" w:cs="Times New Roman"/>
          <w:i w:val="0"/>
          <w:iCs w:val="0"/>
          <w:color w:val="auto"/>
          <w:sz w:val="20"/>
          <w:szCs w:val="20"/>
        </w:rPr>
        <w:t>:</w:t>
      </w:r>
      <w:r>
        <w:rPr>
          <w:rFonts w:ascii="Times New Roman" w:hAnsi="Times New Roman" w:cs="Times New Roman"/>
          <w:i w:val="0"/>
          <w:iCs w:val="0"/>
          <w:sz w:val="20"/>
          <w:szCs w:val="20"/>
        </w:rPr>
        <w:t xml:space="preserve"> </w:t>
      </w:r>
      <w:r>
        <w:rPr>
          <w:rFonts w:ascii="Times New Roman" w:hAnsi="Times New Roman" w:cs="Times New Roman"/>
          <w:i w:val="0"/>
          <w:iCs w:val="0"/>
          <w:sz w:val="20"/>
          <w:szCs w:val="20"/>
        </w:rPr>
        <w:t>The sorted</w:t>
      </w:r>
      <w:r w:rsidRPr="00686E2C">
        <w:rPr>
          <w:rFonts w:ascii="Times New Roman" w:hAnsi="Times New Roman" w:cs="Times New Roman"/>
          <w:i w:val="0"/>
          <w:iCs w:val="0"/>
          <w:sz w:val="20"/>
          <w:szCs w:val="20"/>
        </w:rPr>
        <w:t xml:space="preserve"> </w:t>
      </w:r>
      <w:r>
        <w:rPr>
          <w:rFonts w:ascii="Times New Roman" w:hAnsi="Times New Roman" w:cs="Times New Roman"/>
          <w:i w:val="0"/>
          <w:iCs w:val="0"/>
          <w:sz w:val="20"/>
          <w:szCs w:val="20"/>
        </w:rPr>
        <w:t>average</w:t>
      </w:r>
      <w:r w:rsidRPr="00686E2C">
        <w:rPr>
          <w:rFonts w:ascii="Times New Roman" w:hAnsi="Times New Roman" w:cs="Times New Roman"/>
          <w:i w:val="0"/>
          <w:iCs w:val="0"/>
          <w:sz w:val="20"/>
          <w:szCs w:val="20"/>
        </w:rPr>
        <w:t xml:space="preserve"> efficiencies </w:t>
      </w:r>
      <m:oMath>
        <m:sSup>
          <m:sSupPr>
            <m:ctrlPr>
              <w:rPr>
                <w:rFonts w:ascii="Cambria Math" w:eastAsia="Cambria Math" w:hAnsi="Cambria Math" w:cs="Times New Roman"/>
              </w:rPr>
            </m:ctrlPr>
          </m:sSupPr>
          <m:e>
            <m:r>
              <w:rPr>
                <w:rFonts w:ascii="Cambria Math" w:hAnsi="Cambria Math" w:cs="Times New Roman"/>
              </w:rPr>
              <m:t>e</m:t>
            </m:r>
          </m:e>
          <m:sup>
            <m:r>
              <w:rPr>
                <w:rFonts w:ascii="Cambria Math" w:hAnsi="Cambria Math" w:cs="Times New Roman"/>
              </w:rPr>
              <m:t>+&lt;-</m:t>
            </m:r>
          </m:sup>
        </m:sSup>
        <m:r>
          <w:rPr>
            <w:rFonts w:ascii="Cambria Math" w:eastAsia="Cambria Math" w:hAnsi="Cambria Math" w:cs="Times New Roman"/>
          </w:rPr>
          <m:t xml:space="preserve"> s </m:t>
        </m:r>
      </m:oMath>
      <w:r w:rsidR="00B23517">
        <w:rPr>
          <w:rFonts w:ascii="Times New Roman" w:hAnsi="Times New Roman" w:cs="Times New Roman"/>
          <w:i w:val="0"/>
        </w:rPr>
        <w:t xml:space="preserve">of the pandemic influential factors </w:t>
      </w:r>
      <w:r>
        <w:rPr>
          <w:rFonts w:ascii="Times New Roman" w:hAnsi="Times New Roman" w:cs="Times New Roman"/>
          <w:i w:val="0"/>
          <w:iCs w:val="0"/>
          <w:sz w:val="20"/>
          <w:szCs w:val="20"/>
        </w:rPr>
        <w:t>over all studied countries</w:t>
      </w:r>
      <w:r w:rsidRPr="00686E2C">
        <w:rPr>
          <w:rFonts w:ascii="Times New Roman" w:hAnsi="Times New Roman" w:cs="Times New Roman"/>
          <w:i w:val="0"/>
          <w:iCs w:val="0"/>
          <w:sz w:val="20"/>
          <w:szCs w:val="20"/>
        </w:rPr>
        <w:t>.</w:t>
      </w:r>
    </w:p>
    <w:p w:rsidR="008A6B28" w:rsidRDefault="00DF2F8E">
      <w:pPr>
        <w:pStyle w:val="Heading2"/>
        <w:numPr>
          <w:ilvl w:val="0"/>
          <w:numId w:val="5"/>
        </w:numPr>
        <w:spacing w:line="360" w:lineRule="auto"/>
        <w:rPr>
          <w:rFonts w:ascii="Times New Roman" w:hAnsi="Times New Roman" w:cs="Times New Roman"/>
          <w:sz w:val="28"/>
          <w:szCs w:val="28"/>
        </w:rPr>
      </w:pPr>
      <w:r>
        <w:rPr>
          <w:rFonts w:ascii="Times New Roman" w:hAnsi="Times New Roman" w:cs="Times New Roman"/>
          <w:sz w:val="28"/>
          <w:szCs w:val="28"/>
        </w:rPr>
        <w:t>Conclusion</w:t>
      </w:r>
    </w:p>
    <w:p w:rsidR="008A6B28" w:rsidRDefault="00DF2F8E" w:rsidP="00ED7659">
      <w:pPr>
        <w:spacing w:line="360" w:lineRule="auto"/>
        <w:jc w:val="both"/>
        <w:rPr>
          <w:rFonts w:ascii="Times New Roman" w:hAnsi="Times New Roman" w:cs="Times New Roman"/>
          <w:sz w:val="24"/>
          <w:szCs w:val="24"/>
        </w:rPr>
      </w:pPr>
      <w:r>
        <w:rPr>
          <w:rFonts w:ascii="Times New Roman" w:hAnsi="Times New Roman" w:cs="Times New Roman"/>
          <w:sz w:val="24"/>
          <w:szCs w:val="24"/>
        </w:rPr>
        <w:t xml:space="preserve">The research objective of our study was set out to run a probabilistic Bayesian correlation analysis based on the data of European countries and through a wide time span to gain an extended insight regarding the efficiency of governments </w:t>
      </w:r>
      <w:r w:rsidR="00BD6DD7">
        <w:rPr>
          <w:rFonts w:ascii="Times New Roman" w:hAnsi="Times New Roman" w:cs="Times New Roman"/>
          <w:sz w:val="24"/>
          <w:szCs w:val="24"/>
        </w:rPr>
        <w:t>policies</w:t>
      </w:r>
      <w:r>
        <w:rPr>
          <w:rFonts w:ascii="Times New Roman" w:hAnsi="Times New Roman" w:cs="Times New Roman"/>
          <w:sz w:val="24"/>
          <w:szCs w:val="24"/>
        </w:rPr>
        <w:t xml:space="preserve"> to contain the pandemic growth rates. We measured the efficiency of </w:t>
      </w:r>
      <w:r w:rsidR="00BD6DD7">
        <w:rPr>
          <w:rFonts w:ascii="Times New Roman" w:hAnsi="Times New Roman" w:cs="Times New Roman"/>
          <w:sz w:val="24"/>
          <w:szCs w:val="24"/>
        </w:rPr>
        <w:t xml:space="preserve">a </w:t>
      </w:r>
      <w:r w:rsidR="00BD6DD7" w:rsidRPr="009872B0">
        <w:rPr>
          <w:rFonts w:ascii="Times New Roman" w:hAnsi="Times New Roman" w:cs="Times New Roman"/>
          <w:sz w:val="24"/>
          <w:szCs w:val="24"/>
        </w:rPr>
        <w:t xml:space="preserve">comprehensive </w:t>
      </w:r>
      <w:r w:rsidR="00BD6DD7">
        <w:rPr>
          <w:rFonts w:ascii="Times New Roman" w:hAnsi="Times New Roman" w:cs="Times New Roman"/>
          <w:sz w:val="24"/>
          <w:szCs w:val="24"/>
        </w:rPr>
        <w:t>set</w:t>
      </w:r>
      <w:r w:rsidR="00BD6DD7" w:rsidRPr="009872B0">
        <w:rPr>
          <w:rFonts w:ascii="Times New Roman" w:hAnsi="Times New Roman" w:cs="Times New Roman"/>
          <w:sz w:val="24"/>
          <w:szCs w:val="24"/>
        </w:rPr>
        <w:t xml:space="preserve"> of </w:t>
      </w:r>
      <w:r w:rsidR="00BD6DD7">
        <w:rPr>
          <w:rFonts w:ascii="Times New Roman" w:hAnsi="Times New Roman" w:cs="Times New Roman"/>
          <w:sz w:val="24"/>
          <w:szCs w:val="24"/>
        </w:rPr>
        <w:t xml:space="preserve">pandemic </w:t>
      </w:r>
      <w:r w:rsidR="00BD6DD7" w:rsidRPr="009872B0">
        <w:rPr>
          <w:rFonts w:ascii="Times New Roman" w:hAnsi="Times New Roman" w:cs="Times New Roman"/>
          <w:sz w:val="24"/>
          <w:szCs w:val="24"/>
        </w:rPr>
        <w:t xml:space="preserve">influential factors </w:t>
      </w:r>
      <w:r w:rsidR="00BD6DD7">
        <w:rPr>
          <w:rFonts w:ascii="Times New Roman" w:hAnsi="Times New Roman" w:cs="Times New Roman"/>
          <w:sz w:val="24"/>
          <w:szCs w:val="24"/>
        </w:rPr>
        <w:t>comprising</w:t>
      </w:r>
      <w:r w:rsidR="00BD6DD7" w:rsidRPr="009872B0">
        <w:rPr>
          <w:rFonts w:ascii="Times New Roman" w:hAnsi="Times New Roman" w:cs="Times New Roman"/>
          <w:sz w:val="24"/>
          <w:szCs w:val="24"/>
        </w:rPr>
        <w:t xml:space="preserve"> </w:t>
      </w:r>
      <w:r w:rsidR="00BD6DD7">
        <w:rPr>
          <w:rFonts w:ascii="Times New Roman" w:hAnsi="Times New Roman" w:cs="Times New Roman"/>
          <w:sz w:val="24"/>
          <w:szCs w:val="24"/>
        </w:rPr>
        <w:t>each country’s</w:t>
      </w:r>
      <w:r w:rsidR="00BD6DD7" w:rsidRPr="009872B0">
        <w:rPr>
          <w:rFonts w:ascii="Times New Roman" w:hAnsi="Times New Roman" w:cs="Times New Roman"/>
          <w:sz w:val="24"/>
          <w:szCs w:val="24"/>
        </w:rPr>
        <w:t xml:space="preserve"> NPIs </w:t>
      </w:r>
      <w:r w:rsidR="00BD6DD7">
        <w:rPr>
          <w:rFonts w:ascii="Times New Roman" w:hAnsi="Times New Roman" w:cs="Times New Roman"/>
          <w:sz w:val="24"/>
          <w:szCs w:val="24"/>
        </w:rPr>
        <w:t>as well as the</w:t>
      </w:r>
      <w:r w:rsidR="00BD6DD7" w:rsidRPr="009872B0">
        <w:rPr>
          <w:rFonts w:ascii="Times New Roman" w:hAnsi="Times New Roman" w:cs="Times New Roman"/>
          <w:sz w:val="24"/>
          <w:szCs w:val="24"/>
        </w:rPr>
        <w:t xml:space="preserve"> </w:t>
      </w:r>
      <w:r w:rsidR="00BD6DD7">
        <w:rPr>
          <w:rFonts w:ascii="Times New Roman" w:hAnsi="Times New Roman" w:cs="Times New Roman"/>
          <w:sz w:val="24"/>
          <w:szCs w:val="24"/>
        </w:rPr>
        <w:t>pre and post vaccination periods,</w:t>
      </w:r>
      <w:r w:rsidR="00BD6DD7" w:rsidRPr="009872B0">
        <w:rPr>
          <w:rFonts w:ascii="Times New Roman" w:hAnsi="Times New Roman" w:cs="Times New Roman"/>
          <w:sz w:val="24"/>
          <w:szCs w:val="24"/>
        </w:rPr>
        <w:t xml:space="preserve"> </w:t>
      </w:r>
      <w:r w:rsidR="00BD6DD7">
        <w:rPr>
          <w:rFonts w:ascii="Times New Roman" w:hAnsi="Times New Roman" w:cs="Times New Roman"/>
          <w:sz w:val="24"/>
          <w:szCs w:val="24"/>
        </w:rPr>
        <w:t xml:space="preserve">dominant </w:t>
      </w:r>
      <w:r w:rsidR="00BD6DD7" w:rsidRPr="009872B0">
        <w:rPr>
          <w:rFonts w:ascii="Times New Roman" w:hAnsi="Times New Roman" w:cs="Times New Roman"/>
          <w:sz w:val="24"/>
          <w:szCs w:val="24"/>
        </w:rPr>
        <w:t xml:space="preserve">various virus </w:t>
      </w:r>
      <w:r w:rsidR="00BD6DD7">
        <w:rPr>
          <w:rFonts w:ascii="Times New Roman" w:hAnsi="Times New Roman" w:cs="Times New Roman"/>
          <w:sz w:val="24"/>
          <w:szCs w:val="24"/>
        </w:rPr>
        <w:t>variants</w:t>
      </w:r>
      <w:r w:rsidR="00BD6DD7" w:rsidRPr="009872B0">
        <w:rPr>
          <w:rFonts w:ascii="Times New Roman" w:hAnsi="Times New Roman" w:cs="Times New Roman"/>
          <w:sz w:val="24"/>
          <w:szCs w:val="24"/>
        </w:rPr>
        <w:t xml:space="preserve"> and seasonalit</w:t>
      </w:r>
      <w:r w:rsidR="00BD6DD7">
        <w:rPr>
          <w:rFonts w:ascii="Times New Roman" w:hAnsi="Times New Roman" w:cs="Times New Roman"/>
          <w:sz w:val="24"/>
          <w:szCs w:val="24"/>
        </w:rPr>
        <w:t xml:space="preserve">y in </w:t>
      </w:r>
      <w:r w:rsidR="003440BC">
        <w:rPr>
          <w:rFonts w:ascii="Times New Roman" w:hAnsi="Times New Roman" w:cs="Times New Roman"/>
          <w:sz w:val="24"/>
          <w:szCs w:val="24"/>
        </w:rPr>
        <w:t>a realistic</w:t>
      </w:r>
      <w:r>
        <w:rPr>
          <w:rFonts w:ascii="Times New Roman" w:hAnsi="Times New Roman" w:cs="Times New Roman"/>
          <w:sz w:val="24"/>
          <w:szCs w:val="24"/>
        </w:rPr>
        <w:t xml:space="preserve"> manner. We compared two distinct </w:t>
      </w:r>
      <w:r w:rsidR="003440BC">
        <w:rPr>
          <w:rFonts w:ascii="Times New Roman" w:hAnsi="Times New Roman" w:cs="Times New Roman"/>
          <w:sz w:val="24"/>
          <w:szCs w:val="24"/>
        </w:rPr>
        <w:t>circumstances</w:t>
      </w:r>
      <w:r>
        <w:rPr>
          <w:rFonts w:ascii="Times New Roman" w:hAnsi="Times New Roman" w:cs="Times New Roman"/>
          <w:sz w:val="24"/>
          <w:szCs w:val="24"/>
        </w:rPr>
        <w:t xml:space="preserve"> for each corresponded </w:t>
      </w:r>
      <w:r w:rsidR="003440BC">
        <w:rPr>
          <w:rFonts w:ascii="Times New Roman" w:hAnsi="Times New Roman" w:cs="Times New Roman"/>
          <w:sz w:val="24"/>
          <w:szCs w:val="24"/>
        </w:rPr>
        <w:t>influential factor</w:t>
      </w:r>
      <w:r>
        <w:rPr>
          <w:rFonts w:ascii="Times New Roman" w:hAnsi="Times New Roman" w:cs="Times New Roman"/>
          <w:sz w:val="24"/>
          <w:szCs w:val="24"/>
        </w:rPr>
        <w:t xml:space="preserve">, in which we explored the (predictive) distribution of pandemic growth rates when the selected </w:t>
      </w:r>
      <w:r w:rsidR="003440BC">
        <w:rPr>
          <w:rFonts w:ascii="Times New Roman" w:hAnsi="Times New Roman" w:cs="Times New Roman"/>
          <w:sz w:val="24"/>
          <w:szCs w:val="24"/>
        </w:rPr>
        <w:t>factor</w:t>
      </w:r>
      <w:r>
        <w:rPr>
          <w:rFonts w:ascii="Times New Roman" w:hAnsi="Times New Roman" w:cs="Times New Roman"/>
          <w:sz w:val="24"/>
          <w:szCs w:val="24"/>
        </w:rPr>
        <w:t xml:space="preserve"> was active and when the selected </w:t>
      </w:r>
      <w:r w:rsidR="003440BC">
        <w:rPr>
          <w:rFonts w:ascii="Times New Roman" w:hAnsi="Times New Roman" w:cs="Times New Roman"/>
          <w:sz w:val="24"/>
          <w:szCs w:val="24"/>
        </w:rPr>
        <w:t>factor</w:t>
      </w:r>
      <w:r>
        <w:rPr>
          <w:rFonts w:ascii="Times New Roman" w:hAnsi="Times New Roman" w:cs="Times New Roman"/>
          <w:sz w:val="24"/>
          <w:szCs w:val="24"/>
        </w:rPr>
        <w:t xml:space="preserve"> was not active, respectively and computed the probability of whether and to which degree, activating the selected </w:t>
      </w:r>
      <w:r w:rsidR="003440BC">
        <w:rPr>
          <w:rFonts w:ascii="Times New Roman" w:hAnsi="Times New Roman" w:cs="Times New Roman"/>
          <w:sz w:val="24"/>
          <w:szCs w:val="24"/>
        </w:rPr>
        <w:t>factor</w:t>
      </w:r>
      <w:r>
        <w:rPr>
          <w:rFonts w:ascii="Times New Roman" w:hAnsi="Times New Roman" w:cs="Times New Roman"/>
          <w:sz w:val="24"/>
          <w:szCs w:val="24"/>
        </w:rPr>
        <w:t xml:space="preserve"> in comparison to non-activating of it, is expected to </w:t>
      </w:r>
      <w:r w:rsidR="003440BC">
        <w:rPr>
          <w:rFonts w:ascii="Times New Roman" w:hAnsi="Times New Roman" w:cs="Times New Roman"/>
          <w:sz w:val="24"/>
          <w:szCs w:val="24"/>
        </w:rPr>
        <w:t>trigger</w:t>
      </w:r>
      <w:r w:rsidR="00FF02F3">
        <w:rPr>
          <w:rFonts w:ascii="Times New Roman" w:hAnsi="Times New Roman" w:cs="Times New Roman"/>
          <w:sz w:val="24"/>
          <w:szCs w:val="24"/>
        </w:rPr>
        <w:t xml:space="preserve"> less values of growth rates</w:t>
      </w:r>
      <w:r>
        <w:rPr>
          <w:rFonts w:ascii="Times New Roman" w:hAnsi="Times New Roman" w:cs="Times New Roman"/>
          <w:sz w:val="24"/>
          <w:szCs w:val="24"/>
        </w:rPr>
        <w:t xml:space="preserve">. This </w:t>
      </w:r>
      <w:r>
        <w:rPr>
          <w:rFonts w:ascii="Times New Roman" w:hAnsi="Times New Roman" w:cs="Times New Roman"/>
          <w:sz w:val="24"/>
          <w:szCs w:val="24"/>
        </w:rPr>
        <w:lastRenderedPageBreak/>
        <w:t xml:space="preserve">approach might not be interpreted as a </w:t>
      </w:r>
      <w:r w:rsidR="000B507B">
        <w:rPr>
          <w:rFonts w:ascii="Times New Roman" w:hAnsi="Times New Roman" w:cs="Times New Roman"/>
          <w:sz w:val="24"/>
          <w:szCs w:val="24"/>
        </w:rPr>
        <w:t xml:space="preserve">complete </w:t>
      </w:r>
      <w:r>
        <w:rPr>
          <w:rFonts w:ascii="Times New Roman" w:hAnsi="Times New Roman" w:cs="Times New Roman"/>
          <w:sz w:val="24"/>
          <w:szCs w:val="24"/>
        </w:rPr>
        <w:t>causal analysis. However, it can inform policy setting about similar patterns in containing the spread of the disease across 30 European countries over a relative long span of the observation. These similar insights might provide reasonable viewpoint to evaluate the governments NPIs effectiveness</w:t>
      </w:r>
      <w:r w:rsidR="00A02712">
        <w:rPr>
          <w:rFonts w:ascii="Times New Roman" w:hAnsi="Times New Roman" w:cs="Times New Roman"/>
          <w:sz w:val="24"/>
          <w:szCs w:val="24"/>
        </w:rPr>
        <w:t xml:space="preserve"> as well as other influential factors e.g. seasonal impacts</w:t>
      </w:r>
      <w:r>
        <w:rPr>
          <w:rFonts w:ascii="Times New Roman" w:hAnsi="Times New Roman" w:cs="Times New Roman"/>
          <w:sz w:val="24"/>
          <w:szCs w:val="24"/>
        </w:rPr>
        <w:t xml:space="preserve">. </w:t>
      </w:r>
      <w:r w:rsidR="00A02712">
        <w:rPr>
          <w:rFonts w:ascii="Times New Roman" w:hAnsi="Times New Roman" w:cs="Times New Roman"/>
          <w:sz w:val="24"/>
          <w:szCs w:val="24"/>
        </w:rPr>
        <w:t>If</w:t>
      </w:r>
      <w:r>
        <w:rPr>
          <w:rFonts w:ascii="Times New Roman" w:hAnsi="Times New Roman" w:cs="Times New Roman"/>
          <w:sz w:val="24"/>
          <w:szCs w:val="24"/>
        </w:rPr>
        <w:t xml:space="preserve"> a specific NPI shows poorly related predictive effectiveness when applied in several countries, this might be inviting to further research and more deliberate at policy setting level. </w:t>
      </w:r>
      <w:r w:rsidR="00A02712">
        <w:rPr>
          <w:rFonts w:ascii="Times New Roman" w:hAnsi="Times New Roman" w:cs="Times New Roman"/>
          <w:sz w:val="24"/>
          <w:szCs w:val="24"/>
        </w:rPr>
        <w:t>Our analysis might not be capable to further elaborate regarding the partial inefficiencies when it comes to some NPIs e.g. mask mandates. The analysis, moreover</w:t>
      </w:r>
      <w:r>
        <w:rPr>
          <w:rFonts w:ascii="Times New Roman" w:hAnsi="Times New Roman" w:cs="Times New Roman"/>
          <w:sz w:val="24"/>
          <w:szCs w:val="24"/>
        </w:rPr>
        <w:t xml:space="preserve"> does not incorporate the aggregate effects of </w:t>
      </w:r>
      <w:r w:rsidR="00A02712">
        <w:rPr>
          <w:rFonts w:ascii="Times New Roman" w:hAnsi="Times New Roman" w:cs="Times New Roman"/>
          <w:sz w:val="24"/>
          <w:szCs w:val="24"/>
        </w:rPr>
        <w:t>the explanatory variables to shed light into the possible causal interrelations</w:t>
      </w:r>
      <w:r>
        <w:rPr>
          <w:rFonts w:ascii="Times New Roman" w:hAnsi="Times New Roman" w:cs="Times New Roman"/>
          <w:sz w:val="24"/>
          <w:szCs w:val="24"/>
        </w:rPr>
        <w:t xml:space="preserve">. </w:t>
      </w:r>
      <w:r w:rsidR="00ED7659">
        <w:rPr>
          <w:rFonts w:ascii="Times New Roman" w:hAnsi="Times New Roman" w:cs="Times New Roman"/>
          <w:sz w:val="24"/>
          <w:szCs w:val="24"/>
        </w:rPr>
        <w:t>is</w:t>
      </w:r>
      <w:r w:rsidR="00ED7659">
        <w:rPr>
          <w:rFonts w:ascii="Times New Roman" w:hAnsi="Times New Roman" w:cs="Times New Roman"/>
          <w:sz w:val="24"/>
          <w:szCs w:val="24"/>
        </w:rPr>
        <w:t xml:space="preserve"> requires</w:t>
      </w:r>
      <w:r w:rsidR="00ED7659" w:rsidRPr="009872B0">
        <w:rPr>
          <w:rFonts w:ascii="Times New Roman" w:hAnsi="Times New Roman" w:cs="Times New Roman"/>
          <w:sz w:val="24"/>
          <w:szCs w:val="24"/>
        </w:rPr>
        <w:t xml:space="preserve"> to be mixed with other analytical and qualitative methods to come out with </w:t>
      </w:r>
      <w:r w:rsidR="00ED7659">
        <w:rPr>
          <w:rFonts w:ascii="Times New Roman" w:hAnsi="Times New Roman" w:cs="Times New Roman"/>
          <w:sz w:val="24"/>
          <w:szCs w:val="24"/>
        </w:rPr>
        <w:t xml:space="preserve">more consistent </w:t>
      </w:r>
      <w:r w:rsidR="00ED7659" w:rsidRPr="009872B0">
        <w:rPr>
          <w:rFonts w:ascii="Times New Roman" w:hAnsi="Times New Roman" w:cs="Times New Roman"/>
          <w:sz w:val="24"/>
          <w:szCs w:val="24"/>
        </w:rPr>
        <w:t>policy relevant explanations</w:t>
      </w:r>
      <w:r>
        <w:rPr>
          <w:rFonts w:ascii="Times New Roman" w:hAnsi="Times New Roman" w:cs="Times New Roman"/>
          <w:sz w:val="24"/>
          <w:szCs w:val="24"/>
        </w:rPr>
        <w:t>.</w:t>
      </w:r>
    </w:p>
    <w:p w:rsidR="008A6B28" w:rsidRDefault="00DF2F8E">
      <w:pPr>
        <w:pStyle w:val="Heading2"/>
        <w:numPr>
          <w:ilvl w:val="0"/>
          <w:numId w:val="5"/>
        </w:numPr>
        <w:rPr>
          <w:rFonts w:ascii="Times New Roman" w:hAnsi="Times New Roman" w:cs="Times New Roman"/>
          <w:sz w:val="28"/>
          <w:szCs w:val="28"/>
        </w:rPr>
      </w:pPr>
      <w:r>
        <w:rPr>
          <w:rFonts w:ascii="Times New Roman" w:hAnsi="Times New Roman" w:cs="Times New Roman"/>
          <w:sz w:val="28"/>
          <w:szCs w:val="28"/>
        </w:rPr>
        <w:t xml:space="preserve">Acknowledgement </w:t>
      </w:r>
    </w:p>
    <w:p w:rsidR="008A6B28" w:rsidRDefault="00DF2F8E">
      <w:pPr>
        <w:jc w:val="both"/>
        <w:rPr>
          <w:rFonts w:ascii="Times New Roman" w:hAnsi="Times New Roman" w:cs="Times New Roman"/>
          <w:sz w:val="24"/>
          <w:szCs w:val="24"/>
        </w:rPr>
      </w:pPr>
      <w:r>
        <w:rPr>
          <w:rFonts w:ascii="Times New Roman" w:hAnsi="Times New Roman" w:cs="Times New Roman"/>
          <w:sz w:val="24"/>
          <w:szCs w:val="24"/>
        </w:rPr>
        <w:t xml:space="preserve">We would like to acknowledge the funding source of the </w:t>
      </w:r>
      <w:proofErr w:type="spellStart"/>
      <w:r>
        <w:rPr>
          <w:rFonts w:ascii="Times New Roman" w:hAnsi="Times New Roman" w:cs="Times New Roman"/>
          <w:sz w:val="24"/>
          <w:szCs w:val="24"/>
        </w:rPr>
        <w:t>Covid&amp;AI</w:t>
      </w:r>
      <w:proofErr w:type="spellEnd"/>
      <w:r>
        <w:rPr>
          <w:rFonts w:ascii="Times New Roman" w:hAnsi="Times New Roman" w:cs="Times New Roman"/>
          <w:sz w:val="24"/>
          <w:szCs w:val="24"/>
        </w:rPr>
        <w:t xml:space="preserve"> project, which is a collaboration between four research groups at the University of Koblenz and is founded by German Science Foundation DFG.</w:t>
      </w:r>
    </w:p>
    <w:p w:rsidR="008A6B28" w:rsidRDefault="00DF2F8E">
      <w:pPr>
        <w:pStyle w:val="Heading2"/>
        <w:numPr>
          <w:ilvl w:val="0"/>
          <w:numId w:val="5"/>
        </w:numPr>
        <w:rPr>
          <w:rFonts w:ascii="Times New Roman" w:hAnsi="Times New Roman" w:cs="Times New Roman"/>
          <w:sz w:val="28"/>
          <w:szCs w:val="28"/>
        </w:rPr>
      </w:pPr>
      <w:r>
        <w:rPr>
          <w:rFonts w:ascii="Times New Roman" w:hAnsi="Times New Roman" w:cs="Times New Roman"/>
          <w:sz w:val="28"/>
          <w:szCs w:val="28"/>
        </w:rPr>
        <w:t>Supplementary material</w:t>
      </w:r>
    </w:p>
    <w:p w:rsidR="008A6B28" w:rsidRDefault="00DF2F8E">
      <w:pPr>
        <w:jc w:val="both"/>
        <w:rPr>
          <w:rFonts w:ascii="Times New Roman" w:eastAsia="Arial" w:hAnsi="Times New Roman" w:cs="Times New Roman"/>
          <w:sz w:val="24"/>
          <w:szCs w:val="24"/>
        </w:rPr>
      </w:pPr>
      <w:r>
        <w:rPr>
          <w:rFonts w:ascii="Times New Roman" w:hAnsi="Times New Roman" w:cs="Times New Roman"/>
          <w:sz w:val="24"/>
          <w:szCs w:val="24"/>
        </w:rPr>
        <w:t>You can</w:t>
      </w:r>
      <w:r>
        <w:rPr>
          <w:rFonts w:ascii="Times New Roman" w:eastAsia="Arial" w:hAnsi="Times New Roman" w:cs="Times New Roman"/>
          <w:sz w:val="24"/>
          <w:szCs w:val="24"/>
        </w:rPr>
        <w:t xml:space="preserve"> find all supplementary material related to this paper consisting of code, data, results and figures in the </w:t>
      </w:r>
      <w:hyperlink r:id="rId40" w:tooltip="https://gitlab.uni-koblenz.de/hamedkhalili/covid_ai_project/-/tree/main/p_1" w:history="1">
        <w:proofErr w:type="spellStart"/>
        <w:r>
          <w:rPr>
            <w:rStyle w:val="Hyperlink"/>
            <w:rFonts w:ascii="Times New Roman" w:eastAsia="Arial" w:hAnsi="Times New Roman" w:cs="Times New Roman"/>
            <w:sz w:val="24"/>
            <w:szCs w:val="24"/>
          </w:rPr>
          <w:t>GitLab</w:t>
        </w:r>
        <w:proofErr w:type="spellEnd"/>
        <w:r>
          <w:rPr>
            <w:rStyle w:val="Hyperlink"/>
            <w:rFonts w:ascii="Times New Roman" w:eastAsia="Arial" w:hAnsi="Times New Roman" w:cs="Times New Roman"/>
            <w:sz w:val="24"/>
            <w:szCs w:val="24"/>
          </w:rPr>
          <w:t xml:space="preserve"> account</w:t>
        </w:r>
      </w:hyperlink>
      <w:r>
        <w:rPr>
          <w:rFonts w:ascii="Times New Roman" w:eastAsia="Arial" w:hAnsi="Times New Roman" w:cs="Times New Roman"/>
          <w:sz w:val="24"/>
          <w:szCs w:val="24"/>
        </w:rPr>
        <w:t xml:space="preserve"> corresponded to this paper, which is provided by </w:t>
      </w:r>
      <w:r>
        <w:rPr>
          <w:rFonts w:ascii="Times New Roman" w:hAnsi="Times New Roman" w:cs="Times New Roman"/>
          <w:sz w:val="24"/>
          <w:szCs w:val="24"/>
        </w:rPr>
        <w:t>University of Koblenz.</w:t>
      </w:r>
    </w:p>
    <w:p w:rsidR="008A6B28" w:rsidRDefault="00DF2F8E">
      <w:pPr>
        <w:pStyle w:val="Heading2"/>
        <w:numPr>
          <w:ilvl w:val="0"/>
          <w:numId w:val="5"/>
        </w:numPr>
        <w:spacing w:line="360" w:lineRule="auto"/>
        <w:rPr>
          <w:rFonts w:ascii="Times New Roman" w:hAnsi="Times New Roman" w:cs="Times New Roman"/>
          <w:sz w:val="28"/>
          <w:szCs w:val="28"/>
        </w:rPr>
      </w:pPr>
      <w:r>
        <w:rPr>
          <w:rFonts w:ascii="Times New Roman" w:hAnsi="Times New Roman" w:cs="Times New Roman"/>
          <w:sz w:val="28"/>
          <w:szCs w:val="28"/>
        </w:rPr>
        <w:t>References</w:t>
      </w:r>
    </w:p>
    <w:p w:rsidR="008A6B28" w:rsidRDefault="00DF2F8E">
      <w:pPr>
        <w:pBdr>
          <w:top w:val="none" w:sz="4" w:space="0" w:color="000000"/>
          <w:left w:val="none" w:sz="4" w:space="0" w:color="000000"/>
          <w:bottom w:val="none" w:sz="4" w:space="0" w:color="000000"/>
          <w:right w:val="none" w:sz="4" w:space="0" w:color="000000"/>
        </w:pBdr>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A. </w:t>
      </w:r>
      <w:proofErr w:type="spellStart"/>
      <w:r>
        <w:rPr>
          <w:rFonts w:ascii="Times New Roman" w:eastAsia="Times New Roman" w:hAnsi="Times New Roman" w:cs="Times New Roman"/>
          <w:color w:val="000000"/>
        </w:rPr>
        <w:t>Riccardi</w:t>
      </w:r>
      <w:proofErr w:type="spellEnd"/>
      <w:r>
        <w:rPr>
          <w:rFonts w:ascii="Times New Roman" w:eastAsia="Times New Roman" w:hAnsi="Times New Roman" w:cs="Times New Roman"/>
          <w:color w:val="000000"/>
        </w:rPr>
        <w:t xml:space="preserve">, J. </w:t>
      </w:r>
      <w:proofErr w:type="spellStart"/>
      <w:r>
        <w:rPr>
          <w:rFonts w:ascii="Times New Roman" w:eastAsia="Times New Roman" w:hAnsi="Times New Roman" w:cs="Times New Roman"/>
          <w:color w:val="000000"/>
        </w:rPr>
        <w:t>Gemignani</w:t>
      </w:r>
      <w:proofErr w:type="spellEnd"/>
      <w:r>
        <w:rPr>
          <w:rFonts w:ascii="Times New Roman" w:eastAsia="Times New Roman" w:hAnsi="Times New Roman" w:cs="Times New Roman"/>
          <w:color w:val="000000"/>
        </w:rPr>
        <w:t xml:space="preserve">, F. </w:t>
      </w:r>
      <w:proofErr w:type="spellStart"/>
      <w:r>
        <w:rPr>
          <w:rFonts w:ascii="Times New Roman" w:eastAsia="Times New Roman" w:hAnsi="Times New Roman" w:cs="Times New Roman"/>
          <w:color w:val="000000"/>
        </w:rPr>
        <w:t>Fernández</w:t>
      </w:r>
      <w:proofErr w:type="spellEnd"/>
      <w:r>
        <w:rPr>
          <w:rFonts w:ascii="Times New Roman" w:eastAsia="Times New Roman" w:hAnsi="Times New Roman" w:cs="Times New Roman"/>
          <w:color w:val="000000"/>
        </w:rPr>
        <w:t>-Navarro and A. Heffernan, "</w:t>
      </w:r>
      <w:proofErr w:type="spellStart"/>
      <w:r>
        <w:rPr>
          <w:rFonts w:ascii="Times New Roman" w:eastAsia="Times New Roman" w:hAnsi="Times New Roman" w:cs="Times New Roman"/>
          <w:color w:val="000000"/>
        </w:rPr>
        <w:t>Optimisation</w:t>
      </w:r>
      <w:proofErr w:type="spellEnd"/>
      <w:r>
        <w:rPr>
          <w:rFonts w:ascii="Times New Roman" w:eastAsia="Times New Roman" w:hAnsi="Times New Roman" w:cs="Times New Roman"/>
          <w:color w:val="000000"/>
        </w:rPr>
        <w:t xml:space="preserve"> of Non-Pharmaceutical Measures in COVID-19 Growth via Neural Networks," in IEEE Transactions on Emerging Topics in Computational Intelligence, vol. 5, no. 1, pp. 79-91, Feb. 2021, </w:t>
      </w:r>
      <w:proofErr w:type="spellStart"/>
      <w:r>
        <w:rPr>
          <w:rFonts w:ascii="Times New Roman" w:eastAsia="Times New Roman" w:hAnsi="Times New Roman" w:cs="Times New Roman"/>
          <w:color w:val="000000"/>
        </w:rPr>
        <w:t>doi</w:t>
      </w:r>
      <w:proofErr w:type="spellEnd"/>
      <w:r>
        <w:rPr>
          <w:rFonts w:ascii="Times New Roman" w:eastAsia="Times New Roman" w:hAnsi="Times New Roman" w:cs="Times New Roman"/>
          <w:color w:val="000000"/>
        </w:rPr>
        <w:t>: 10.1109/TETCI.2020.3046012.</w:t>
      </w:r>
    </w:p>
    <w:p w:rsidR="008A6B28" w:rsidRDefault="00DF2F8E">
      <w:pPr>
        <w:pBdr>
          <w:top w:val="none" w:sz="4" w:space="0" w:color="000000"/>
          <w:left w:val="none" w:sz="4" w:space="0" w:color="000000"/>
          <w:bottom w:val="none" w:sz="4" w:space="0" w:color="000000"/>
          <w:right w:val="none" w:sz="4" w:space="0" w:color="000000"/>
        </w:pBdr>
        <w:jc w:val="both"/>
        <w:rPr>
          <w:rFonts w:ascii="Times New Roman" w:hAnsi="Times New Roman" w:cs="Times New Roman"/>
        </w:rPr>
      </w:pPr>
      <w:proofErr w:type="spellStart"/>
      <w:r>
        <w:rPr>
          <w:rFonts w:ascii="Times New Roman" w:hAnsi="Times New Roman" w:cs="Times New Roman"/>
        </w:rPr>
        <w:t>Binggui</w:t>
      </w:r>
      <w:proofErr w:type="spellEnd"/>
      <w:r>
        <w:rPr>
          <w:rFonts w:ascii="Times New Roman" w:hAnsi="Times New Roman" w:cs="Times New Roman"/>
        </w:rPr>
        <w:t xml:space="preserve"> Zhou, </w:t>
      </w:r>
      <w:proofErr w:type="spellStart"/>
      <w:r>
        <w:rPr>
          <w:rFonts w:ascii="Times New Roman" w:hAnsi="Times New Roman" w:cs="Times New Roman"/>
        </w:rPr>
        <w:t>Guanghua</w:t>
      </w:r>
      <w:proofErr w:type="spellEnd"/>
      <w:r>
        <w:rPr>
          <w:rFonts w:ascii="Times New Roman" w:hAnsi="Times New Roman" w:cs="Times New Roman"/>
        </w:rPr>
        <w:t xml:space="preserve"> Yang, Zheng Shi, </w:t>
      </w:r>
      <w:proofErr w:type="spellStart"/>
      <w:r>
        <w:rPr>
          <w:rFonts w:ascii="Times New Roman" w:hAnsi="Times New Roman" w:cs="Times New Roman"/>
        </w:rPr>
        <w:t>Shaodan</w:t>
      </w:r>
      <w:proofErr w:type="spellEnd"/>
      <w:r>
        <w:rPr>
          <w:rFonts w:ascii="Times New Roman" w:hAnsi="Times New Roman" w:cs="Times New Roman"/>
        </w:rPr>
        <w:t xml:space="preserve"> Ma, Interpretable Temporal Attention Network for COVID-19 forecasting, Applied Soft Computing, Volume 120, 2022, 108691, ISSN 1568-4946, </w:t>
      </w:r>
      <w:hyperlink r:id="rId41" w:tooltip="https://doi.org/10.1016/j.asoc.2022.108691" w:history="1">
        <w:r>
          <w:rPr>
            <w:rStyle w:val="Hyperlink"/>
            <w:rFonts w:ascii="Times New Roman" w:hAnsi="Times New Roman" w:cs="Times New Roman"/>
          </w:rPr>
          <w:t>https://doi.org/10.1016/j.asoc.2022.108691</w:t>
        </w:r>
      </w:hyperlink>
      <w:r>
        <w:rPr>
          <w:rFonts w:ascii="Times New Roman" w:hAnsi="Times New Roman" w:cs="Times New Roman"/>
        </w:rPr>
        <w:t>.</w:t>
      </w:r>
    </w:p>
    <w:p w:rsidR="008A6B28" w:rsidRDefault="00DF2F8E">
      <w:pPr>
        <w:jc w:val="both"/>
        <w:rPr>
          <w:rFonts w:ascii="Times New Roman" w:hAnsi="Times New Roman" w:cs="Times New Roman"/>
        </w:rPr>
      </w:pPr>
      <w:proofErr w:type="spellStart"/>
      <w:r>
        <w:rPr>
          <w:rFonts w:ascii="Times New Roman" w:eastAsia="Times New Roman" w:hAnsi="Times New Roman" w:cs="Times New Roman"/>
          <w:color w:val="000000"/>
        </w:rPr>
        <w:t>Banholzer</w:t>
      </w:r>
      <w:proofErr w:type="spellEnd"/>
      <w:r>
        <w:rPr>
          <w:rFonts w:ascii="Times New Roman" w:eastAsia="Times New Roman" w:hAnsi="Times New Roman" w:cs="Times New Roman"/>
          <w:color w:val="000000"/>
        </w:rPr>
        <w:t xml:space="preserve">, N., </w:t>
      </w:r>
      <w:proofErr w:type="spellStart"/>
      <w:r>
        <w:rPr>
          <w:rFonts w:ascii="Times New Roman" w:eastAsia="Times New Roman" w:hAnsi="Times New Roman" w:cs="Times New Roman"/>
          <w:color w:val="000000"/>
        </w:rPr>
        <w:t>Feuerriegel</w:t>
      </w:r>
      <w:proofErr w:type="spellEnd"/>
      <w:r>
        <w:rPr>
          <w:rFonts w:ascii="Times New Roman" w:eastAsia="Times New Roman" w:hAnsi="Times New Roman" w:cs="Times New Roman"/>
          <w:color w:val="000000"/>
        </w:rPr>
        <w:t xml:space="preserve">, S. &amp; </w:t>
      </w:r>
      <w:proofErr w:type="spellStart"/>
      <w:r>
        <w:rPr>
          <w:rFonts w:ascii="Times New Roman" w:eastAsia="Times New Roman" w:hAnsi="Times New Roman" w:cs="Times New Roman"/>
          <w:color w:val="000000"/>
        </w:rPr>
        <w:t>Vach</w:t>
      </w:r>
      <w:proofErr w:type="spellEnd"/>
      <w:r>
        <w:rPr>
          <w:rFonts w:ascii="Times New Roman" w:eastAsia="Times New Roman" w:hAnsi="Times New Roman" w:cs="Times New Roman"/>
          <w:color w:val="000000"/>
        </w:rPr>
        <w:t xml:space="preserve">, W. Estimating and explaining cross-country variation in the effectiveness of non-pharmaceutical interventions during COVID-19. </w:t>
      </w:r>
      <w:proofErr w:type="spellStart"/>
      <w:r>
        <w:rPr>
          <w:rFonts w:ascii="Times New Roman" w:eastAsia="Times New Roman" w:hAnsi="Times New Roman" w:cs="Times New Roman"/>
          <w:color w:val="000000"/>
        </w:rPr>
        <w:t>Sci</w:t>
      </w:r>
      <w:proofErr w:type="spellEnd"/>
      <w:r>
        <w:rPr>
          <w:rFonts w:ascii="Times New Roman" w:eastAsia="Times New Roman" w:hAnsi="Times New Roman" w:cs="Times New Roman"/>
          <w:color w:val="000000"/>
        </w:rPr>
        <w:t xml:space="preserve"> Rep 12, 7526 (2022). </w:t>
      </w:r>
      <w:hyperlink r:id="rId42" w:tooltip="https://doi.org/10.1038/s41598-022-11362-x" w:history="1">
        <w:r>
          <w:rPr>
            <w:rStyle w:val="Hyperlink"/>
            <w:rFonts w:ascii="Times New Roman" w:eastAsia="Times New Roman" w:hAnsi="Times New Roman" w:cs="Times New Roman"/>
            <w:color w:val="0563C1"/>
          </w:rPr>
          <w:t>https://doi.org/10.1038/s41598-022-11362-x</w:t>
        </w:r>
      </w:hyperlink>
    </w:p>
    <w:p w:rsidR="008A6B28" w:rsidRDefault="00DF2F8E">
      <w:pPr>
        <w:pBdr>
          <w:top w:val="none" w:sz="4" w:space="0" w:color="000000"/>
          <w:left w:val="none" w:sz="4" w:space="0" w:color="000000"/>
          <w:bottom w:val="none" w:sz="4" w:space="0" w:color="000000"/>
          <w:right w:val="none" w:sz="4" w:space="0" w:color="000000"/>
        </w:pBdr>
        <w:jc w:val="both"/>
        <w:rPr>
          <w:rFonts w:ascii="Times New Roman" w:hAnsi="Times New Roman" w:cs="Times New Roman"/>
        </w:rPr>
      </w:pPr>
      <w:r>
        <w:rPr>
          <w:rFonts w:ascii="Times New Roman" w:eastAsia="Times New Roman" w:hAnsi="Times New Roman" w:cs="Times New Roman"/>
          <w:color w:val="000000"/>
        </w:rPr>
        <w:t xml:space="preserve">Bishop, Christopher M. </w:t>
      </w:r>
      <w:proofErr w:type="gramStart"/>
      <w:r>
        <w:rPr>
          <w:rFonts w:ascii="Times New Roman" w:eastAsia="Times New Roman" w:hAnsi="Times New Roman" w:cs="Times New Roman"/>
          <w:color w:val="000000"/>
        </w:rPr>
        <w:t>( 2006</w:t>
      </w:r>
      <w:proofErr w:type="gramEnd"/>
      <w:r>
        <w:rPr>
          <w:rFonts w:ascii="Times New Roman" w:eastAsia="Times New Roman" w:hAnsi="Times New Roman" w:cs="Times New Roman"/>
          <w:color w:val="000000"/>
        </w:rPr>
        <w:t xml:space="preserve">). Pattern recognition and machine learning. New </w:t>
      </w:r>
      <w:proofErr w:type="gramStart"/>
      <w:r>
        <w:rPr>
          <w:rFonts w:ascii="Times New Roman" w:eastAsia="Times New Roman" w:hAnsi="Times New Roman" w:cs="Times New Roman"/>
          <w:color w:val="000000"/>
        </w:rPr>
        <w:t>York :Springer</w:t>
      </w:r>
      <w:proofErr w:type="gramEnd"/>
    </w:p>
    <w:p w:rsidR="008A6B28" w:rsidRDefault="00DF2F8E">
      <w:pPr>
        <w:pBdr>
          <w:top w:val="none" w:sz="4" w:space="0" w:color="000000"/>
          <w:left w:val="none" w:sz="4" w:space="0" w:color="000000"/>
          <w:bottom w:val="none" w:sz="4" w:space="0" w:color="000000"/>
          <w:right w:val="none" w:sz="4" w:space="0" w:color="000000"/>
        </w:pBdr>
        <w:jc w:val="both"/>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 xml:space="preserve">Barceló J, Sheen GC. Voluntary adoption of social welfare-enhancing behavior: Mask-wearing in Spain during the COVID-19 outbreak. </w:t>
      </w:r>
      <w:proofErr w:type="spellStart"/>
      <w:r>
        <w:rPr>
          <w:rFonts w:ascii="Times New Roman" w:eastAsia="Times New Roman" w:hAnsi="Times New Roman" w:cs="Times New Roman"/>
          <w:color w:val="000000"/>
        </w:rPr>
        <w:t>PLoS</w:t>
      </w:r>
      <w:proofErr w:type="spellEnd"/>
      <w:r>
        <w:rPr>
          <w:rFonts w:ascii="Times New Roman" w:eastAsia="Times New Roman" w:hAnsi="Times New Roman" w:cs="Times New Roman"/>
          <w:color w:val="000000"/>
        </w:rPr>
        <w:t xml:space="preserve"> One. 2020 Dec 1;15(12</w:t>
      </w:r>
      <w:proofErr w:type="gramStart"/>
      <w:r>
        <w:rPr>
          <w:rFonts w:ascii="Times New Roman" w:eastAsia="Times New Roman" w:hAnsi="Times New Roman" w:cs="Times New Roman"/>
          <w:color w:val="000000"/>
        </w:rPr>
        <w:t>):e</w:t>
      </w:r>
      <w:proofErr w:type="gramEnd"/>
      <w:r>
        <w:rPr>
          <w:rFonts w:ascii="Times New Roman" w:eastAsia="Times New Roman" w:hAnsi="Times New Roman" w:cs="Times New Roman"/>
          <w:color w:val="000000"/>
        </w:rPr>
        <w:t xml:space="preserve">0242764. </w:t>
      </w:r>
      <w:proofErr w:type="spellStart"/>
      <w:r>
        <w:rPr>
          <w:rFonts w:ascii="Times New Roman" w:eastAsia="Times New Roman" w:hAnsi="Times New Roman" w:cs="Times New Roman"/>
          <w:color w:val="000000"/>
        </w:rPr>
        <w:t>doi</w:t>
      </w:r>
      <w:proofErr w:type="spellEnd"/>
      <w:r>
        <w:rPr>
          <w:rFonts w:ascii="Times New Roman" w:eastAsia="Times New Roman" w:hAnsi="Times New Roman" w:cs="Times New Roman"/>
          <w:color w:val="000000"/>
        </w:rPr>
        <w:t>: 10.1371/journal.pone.0242764. PMID: 33259531; PMCID: PMC7707551.</w:t>
      </w:r>
    </w:p>
    <w:p w:rsidR="008A6B28" w:rsidRDefault="00DF2F8E">
      <w:pPr>
        <w:pBdr>
          <w:top w:val="none" w:sz="4" w:space="0" w:color="000000"/>
          <w:left w:val="none" w:sz="4" w:space="0" w:color="000000"/>
          <w:bottom w:val="none" w:sz="4" w:space="0" w:color="000000"/>
          <w:right w:val="none" w:sz="4" w:space="0" w:color="000000"/>
        </w:pBdr>
        <w:jc w:val="both"/>
        <w:rPr>
          <w:rFonts w:ascii="Times New Roman" w:hAnsi="Times New Roman" w:cs="Times New Roman"/>
        </w:rPr>
      </w:pPr>
      <w:proofErr w:type="spellStart"/>
      <w:r>
        <w:rPr>
          <w:rFonts w:ascii="Times New Roman" w:eastAsia="Times New Roman" w:hAnsi="Times New Roman" w:cs="Times New Roman"/>
          <w:color w:val="000000"/>
        </w:rPr>
        <w:t>ByAlicia</w:t>
      </w:r>
      <w:proofErr w:type="spellEnd"/>
      <w:r>
        <w:rPr>
          <w:rFonts w:ascii="Times New Roman" w:eastAsia="Times New Roman" w:hAnsi="Times New Roman" w:cs="Times New Roman"/>
          <w:color w:val="000000"/>
        </w:rPr>
        <w:t xml:space="preserve"> A. Johnson, Miles Q. </w:t>
      </w:r>
      <w:proofErr w:type="spellStart"/>
      <w:r>
        <w:rPr>
          <w:rFonts w:ascii="Times New Roman" w:eastAsia="Times New Roman" w:hAnsi="Times New Roman" w:cs="Times New Roman"/>
          <w:color w:val="000000"/>
        </w:rPr>
        <w:t>Ott</w:t>
      </w:r>
      <w:proofErr w:type="spellEnd"/>
      <w:r>
        <w:rPr>
          <w:rFonts w:ascii="Times New Roman" w:eastAsia="Times New Roman" w:hAnsi="Times New Roman" w:cs="Times New Roman"/>
          <w:color w:val="000000"/>
        </w:rPr>
        <w:t xml:space="preserve">, Mine </w:t>
      </w:r>
      <w:proofErr w:type="spellStart"/>
      <w:r>
        <w:rPr>
          <w:rFonts w:ascii="Times New Roman" w:eastAsia="Times New Roman" w:hAnsi="Times New Roman" w:cs="Times New Roman"/>
          <w:color w:val="000000"/>
        </w:rPr>
        <w:t>Dogucu</w:t>
      </w:r>
      <w:proofErr w:type="spellEnd"/>
      <w:r>
        <w:rPr>
          <w:rFonts w:ascii="Times New Roman" w:eastAsia="Times New Roman" w:hAnsi="Times New Roman" w:cs="Times New Roman"/>
          <w:color w:val="000000"/>
        </w:rPr>
        <w:t xml:space="preserve">. Bayes Rules! An Introduction to Applied Bayesian Modeling </w:t>
      </w:r>
      <w:hyperlink r:id="rId43" w:tooltip="https://doi.org/10.1201/9780429288340" w:history="1">
        <w:r>
          <w:rPr>
            <w:rStyle w:val="Hyperlink"/>
            <w:rFonts w:ascii="Times New Roman" w:eastAsia="Times New Roman" w:hAnsi="Times New Roman" w:cs="Times New Roman"/>
            <w:color w:val="0563C1"/>
          </w:rPr>
          <w:t>https://doi.org/10.1201/9780429288340</w:t>
        </w:r>
      </w:hyperlink>
    </w:p>
    <w:p w:rsidR="008A6B28" w:rsidRDefault="00DF2F8E">
      <w:pPr>
        <w:pBdr>
          <w:top w:val="none" w:sz="4" w:space="0" w:color="000000"/>
          <w:left w:val="none" w:sz="4" w:space="0" w:color="000000"/>
          <w:bottom w:val="none" w:sz="4" w:space="0" w:color="000000"/>
          <w:right w:val="none" w:sz="4" w:space="0" w:color="000000"/>
        </w:pBdr>
        <w:jc w:val="both"/>
        <w:rPr>
          <w:rStyle w:val="Hyperlink"/>
          <w:rFonts w:ascii="Times New Roman" w:eastAsia="Times New Roman" w:hAnsi="Times New Roman" w:cs="Times New Roman"/>
          <w:color w:val="0563C1"/>
        </w:rPr>
      </w:pPr>
      <w:r>
        <w:rPr>
          <w:rFonts w:ascii="Times New Roman" w:eastAsia="Times New Roman" w:hAnsi="Times New Roman" w:cs="Times New Roman"/>
          <w:color w:val="000000"/>
        </w:rPr>
        <w:t xml:space="preserve">Congdon, P.D. (2019). Bayesian Hierarchical Models: With Applications Using R, Second Edition (2nd ed.). Chapman and Hall/CRC. </w:t>
      </w:r>
      <w:hyperlink r:id="rId44" w:tooltip="https://doi.org/10.1201/9780429113352" w:history="1">
        <w:r>
          <w:rPr>
            <w:rStyle w:val="Hyperlink"/>
            <w:rFonts w:ascii="Times New Roman" w:eastAsia="Times New Roman" w:hAnsi="Times New Roman" w:cs="Times New Roman"/>
            <w:color w:val="0563C1"/>
          </w:rPr>
          <w:t>https://doi.org/10.1201/9780429113352</w:t>
        </w:r>
      </w:hyperlink>
    </w:p>
    <w:p w:rsidR="00FC1904" w:rsidRPr="00F606F7" w:rsidRDefault="00FC1904" w:rsidP="00FC1904">
      <w:pPr>
        <w:pBdr>
          <w:top w:val="none" w:sz="4" w:space="0" w:color="000000"/>
          <w:left w:val="none" w:sz="4" w:space="0" w:color="000000"/>
          <w:bottom w:val="none" w:sz="4" w:space="0" w:color="000000"/>
          <w:right w:val="none" w:sz="4" w:space="0" w:color="000000"/>
        </w:pBdr>
        <w:spacing w:line="240" w:lineRule="auto"/>
        <w:jc w:val="both"/>
        <w:rPr>
          <w:rFonts w:ascii="Times New Roman" w:hAnsi="Times New Roman" w:cs="Times New Roman"/>
        </w:rPr>
      </w:pPr>
      <w:r w:rsidRPr="00F606F7">
        <w:rPr>
          <w:rFonts w:ascii="Times New Roman" w:hAnsi="Times New Roman" w:cs="Times New Roman"/>
        </w:rPr>
        <w:t xml:space="preserve">Cory </w:t>
      </w:r>
      <w:proofErr w:type="spellStart"/>
      <w:r w:rsidRPr="00F606F7">
        <w:rPr>
          <w:rFonts w:ascii="Times New Roman" w:hAnsi="Times New Roman" w:cs="Times New Roman"/>
        </w:rPr>
        <w:t>Merow</w:t>
      </w:r>
      <w:proofErr w:type="spellEnd"/>
      <w:r w:rsidRPr="00F606F7">
        <w:rPr>
          <w:rFonts w:ascii="Times New Roman" w:hAnsi="Times New Roman" w:cs="Times New Roman"/>
        </w:rPr>
        <w:t xml:space="preserve"> and Mark C. 2020. Urban, Seasonality and uncertainty in global COVID-19 growth rates, Proceedings of the National Academy of Sciences, 117(44): 27456-27464. doi: 10.1073/pnas.2008590117</w:t>
      </w:r>
    </w:p>
    <w:p w:rsidR="008A6B28" w:rsidRDefault="00DF2F8E">
      <w:pPr>
        <w:pBdr>
          <w:top w:val="none" w:sz="4" w:space="0" w:color="000000"/>
          <w:left w:val="none" w:sz="4" w:space="0" w:color="000000"/>
          <w:bottom w:val="none" w:sz="4" w:space="0" w:color="000000"/>
          <w:right w:val="none" w:sz="4" w:space="0" w:color="000000"/>
        </w:pBdr>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Duane, </w:t>
      </w:r>
      <w:proofErr w:type="gramStart"/>
      <w:r>
        <w:rPr>
          <w:rFonts w:ascii="Times New Roman" w:eastAsia="Times New Roman" w:hAnsi="Times New Roman" w:cs="Times New Roman"/>
          <w:color w:val="000000"/>
        </w:rPr>
        <w:t>Simon ;</w:t>
      </w:r>
      <w:proofErr w:type="gramEnd"/>
      <w:r>
        <w:rPr>
          <w:rFonts w:ascii="Times New Roman" w:eastAsia="Times New Roman" w:hAnsi="Times New Roman" w:cs="Times New Roman"/>
          <w:color w:val="000000"/>
        </w:rPr>
        <w:t xml:space="preserve"> Kennedy, A. D. ; Pendleton, Brian J. ; </w:t>
      </w:r>
      <w:proofErr w:type="spellStart"/>
      <w:r>
        <w:rPr>
          <w:rFonts w:ascii="Times New Roman" w:eastAsia="Times New Roman" w:hAnsi="Times New Roman" w:cs="Times New Roman"/>
          <w:color w:val="000000"/>
        </w:rPr>
        <w:t>Roweth</w:t>
      </w:r>
      <w:proofErr w:type="spellEnd"/>
      <w:r>
        <w:rPr>
          <w:rFonts w:ascii="Times New Roman" w:eastAsia="Times New Roman" w:hAnsi="Times New Roman" w:cs="Times New Roman"/>
          <w:color w:val="000000"/>
        </w:rPr>
        <w:t>, Duncan. Hybrid Monte Carlo. 1987. Physics Letters B, Volume 195, Issue 2, p. 216-222. DOI:10.1016/0370-2693(87)91197-X</w:t>
      </w:r>
    </w:p>
    <w:p w:rsidR="008A6B28" w:rsidRDefault="00DF2F8E">
      <w:pPr>
        <w:pBdr>
          <w:top w:val="none" w:sz="4" w:space="0" w:color="000000"/>
          <w:left w:val="none" w:sz="4" w:space="0" w:color="000000"/>
          <w:bottom w:val="none" w:sz="4" w:space="0" w:color="000000"/>
          <w:right w:val="none" w:sz="4" w:space="0" w:color="000000"/>
        </w:pBdr>
        <w:jc w:val="both"/>
        <w:rPr>
          <w:rFonts w:ascii="Times New Roman" w:hAnsi="Times New Roman" w:cs="Times New Roman"/>
        </w:rPr>
      </w:pPr>
      <w:r>
        <w:rPr>
          <w:rFonts w:ascii="Times New Roman" w:eastAsia="Times New Roman" w:hAnsi="Times New Roman" w:cs="Times New Roman"/>
          <w:color w:val="000000"/>
        </w:rPr>
        <w:t xml:space="preserve">De Kai, Guy-Philippe Goldstein, Alexey </w:t>
      </w:r>
      <w:proofErr w:type="spellStart"/>
      <w:r>
        <w:rPr>
          <w:rFonts w:ascii="Times New Roman" w:eastAsia="Times New Roman" w:hAnsi="Times New Roman" w:cs="Times New Roman"/>
          <w:color w:val="000000"/>
        </w:rPr>
        <w:t>Morgunov</w:t>
      </w:r>
      <w:proofErr w:type="spellEnd"/>
      <w:r>
        <w:rPr>
          <w:rFonts w:ascii="Times New Roman" w:eastAsia="Times New Roman" w:hAnsi="Times New Roman" w:cs="Times New Roman"/>
          <w:color w:val="000000"/>
        </w:rPr>
        <w:t xml:space="preserve">, Vishal </w:t>
      </w:r>
      <w:proofErr w:type="spellStart"/>
      <w:r>
        <w:rPr>
          <w:rFonts w:ascii="Times New Roman" w:eastAsia="Times New Roman" w:hAnsi="Times New Roman" w:cs="Times New Roman"/>
          <w:color w:val="000000"/>
        </w:rPr>
        <w:t>Nangalia</w:t>
      </w:r>
      <w:proofErr w:type="spellEnd"/>
      <w:r>
        <w:rPr>
          <w:rFonts w:ascii="Times New Roman" w:eastAsia="Times New Roman" w:hAnsi="Times New Roman" w:cs="Times New Roman"/>
          <w:color w:val="000000"/>
        </w:rPr>
        <w:t xml:space="preserve">, Anna </w:t>
      </w:r>
      <w:proofErr w:type="spellStart"/>
      <w:r>
        <w:rPr>
          <w:rFonts w:ascii="Times New Roman" w:eastAsia="Times New Roman" w:hAnsi="Times New Roman" w:cs="Times New Roman"/>
          <w:color w:val="000000"/>
        </w:rPr>
        <w:t>Rotkirch</w:t>
      </w:r>
      <w:proofErr w:type="spellEnd"/>
      <w:r>
        <w:rPr>
          <w:rFonts w:ascii="Times New Roman" w:eastAsia="Times New Roman" w:hAnsi="Times New Roman" w:cs="Times New Roman"/>
          <w:color w:val="000000"/>
        </w:rPr>
        <w:t xml:space="preserve">. Universal Masking is Urgent in the COVID-19 Pandemic: SEIR and Agent Based Models, Empirical Validation, Policy Recommendations. </w:t>
      </w:r>
      <w:r>
        <w:rPr>
          <w:rFonts w:ascii="Times New Roman" w:eastAsia="Times New Roman" w:hAnsi="Times New Roman" w:cs="Times New Roman"/>
          <w:color w:val="000000"/>
        </w:rPr>
        <w:tab/>
        <w:t>arXiv:2004.13553</w:t>
      </w:r>
    </w:p>
    <w:p w:rsidR="008A6B28" w:rsidRDefault="00DF2F8E">
      <w:pPr>
        <w:pBdr>
          <w:top w:val="none" w:sz="4" w:space="0" w:color="000000"/>
          <w:left w:val="none" w:sz="4" w:space="0" w:color="000000"/>
          <w:bottom w:val="none" w:sz="4" w:space="0" w:color="000000"/>
          <w:right w:val="none" w:sz="4" w:space="0" w:color="000000"/>
        </w:pBdr>
        <w:jc w:val="both"/>
        <w:rPr>
          <w:rFonts w:ascii="Times New Roman" w:hAnsi="Times New Roman" w:cs="Times New Roman"/>
        </w:rPr>
      </w:pPr>
      <w:proofErr w:type="spellStart"/>
      <w:r>
        <w:rPr>
          <w:rFonts w:ascii="Times New Roman" w:hAnsi="Times New Roman" w:cs="Times New Roman"/>
        </w:rPr>
        <w:t>Dixizi</w:t>
      </w:r>
      <w:proofErr w:type="spellEnd"/>
      <w:r>
        <w:rPr>
          <w:rFonts w:ascii="Times New Roman" w:hAnsi="Times New Roman" w:cs="Times New Roman"/>
        </w:rPr>
        <w:t xml:space="preserve"> Liu, </w:t>
      </w:r>
      <w:proofErr w:type="spellStart"/>
      <w:r>
        <w:rPr>
          <w:rFonts w:ascii="Times New Roman" w:hAnsi="Times New Roman" w:cs="Times New Roman"/>
        </w:rPr>
        <w:t>Weiping</w:t>
      </w:r>
      <w:proofErr w:type="spellEnd"/>
      <w:r>
        <w:rPr>
          <w:rFonts w:ascii="Times New Roman" w:hAnsi="Times New Roman" w:cs="Times New Roman"/>
        </w:rPr>
        <w:t xml:space="preserve"> Ding, </w:t>
      </w:r>
      <w:proofErr w:type="spellStart"/>
      <w:r>
        <w:rPr>
          <w:rFonts w:ascii="Times New Roman" w:hAnsi="Times New Roman" w:cs="Times New Roman"/>
        </w:rPr>
        <w:t>Zhijie</w:t>
      </w:r>
      <w:proofErr w:type="spellEnd"/>
      <w:r>
        <w:rPr>
          <w:rFonts w:ascii="Times New Roman" w:hAnsi="Times New Roman" w:cs="Times New Roman"/>
        </w:rPr>
        <w:t xml:space="preserve"> Sasha Dong, </w:t>
      </w:r>
      <w:proofErr w:type="spellStart"/>
      <w:r>
        <w:rPr>
          <w:rFonts w:ascii="Times New Roman" w:hAnsi="Times New Roman" w:cs="Times New Roman"/>
        </w:rPr>
        <w:t>Witold</w:t>
      </w:r>
      <w:proofErr w:type="spellEnd"/>
      <w:r>
        <w:rPr>
          <w:rFonts w:ascii="Times New Roman" w:hAnsi="Times New Roman" w:cs="Times New Roman"/>
        </w:rPr>
        <w:t xml:space="preserve"> </w:t>
      </w:r>
      <w:proofErr w:type="spellStart"/>
      <w:r>
        <w:rPr>
          <w:rFonts w:ascii="Times New Roman" w:hAnsi="Times New Roman" w:cs="Times New Roman"/>
        </w:rPr>
        <w:t>Pedrycz</w:t>
      </w:r>
      <w:proofErr w:type="spellEnd"/>
      <w:r>
        <w:rPr>
          <w:rFonts w:ascii="Times New Roman" w:hAnsi="Times New Roman" w:cs="Times New Roman"/>
        </w:rPr>
        <w:t xml:space="preserve">, Optimizing deep neural networks to predict the effect of social distancing on COVID-19 </w:t>
      </w:r>
      <w:proofErr w:type="spellStart"/>
      <w:r>
        <w:rPr>
          <w:rFonts w:ascii="Times New Roman" w:hAnsi="Times New Roman" w:cs="Times New Roman"/>
        </w:rPr>
        <w:t>spread,Computers</w:t>
      </w:r>
      <w:proofErr w:type="spellEnd"/>
      <w:r>
        <w:rPr>
          <w:rFonts w:ascii="Times New Roman" w:hAnsi="Times New Roman" w:cs="Times New Roman"/>
        </w:rPr>
        <w:t xml:space="preserve"> &amp; Industrial Engineering, Volume 166, 2022, 107970, ISSN 0360-8352, </w:t>
      </w:r>
      <w:hyperlink r:id="rId45" w:tooltip="https://doi.org/10.1016/j.cie.2022.107970" w:history="1">
        <w:r>
          <w:rPr>
            <w:rStyle w:val="Hyperlink"/>
            <w:rFonts w:ascii="Times New Roman" w:hAnsi="Times New Roman" w:cs="Times New Roman"/>
          </w:rPr>
          <w:t>https://doi.org/10.1016/j.cie.2022.107970</w:t>
        </w:r>
      </w:hyperlink>
    </w:p>
    <w:p w:rsidR="008A6B28" w:rsidRDefault="00DF2F8E">
      <w:pPr>
        <w:pBdr>
          <w:top w:val="none" w:sz="4" w:space="0" w:color="000000"/>
          <w:left w:val="none" w:sz="4" w:space="0" w:color="000000"/>
          <w:bottom w:val="none" w:sz="4" w:space="0" w:color="000000"/>
          <w:right w:val="none" w:sz="4" w:space="0" w:color="000000"/>
        </w:pBdr>
        <w:jc w:val="both"/>
        <w:rPr>
          <w:rFonts w:ascii="Times New Roman" w:hAnsi="Times New Roman" w:cs="Times New Roman"/>
        </w:rPr>
      </w:pPr>
      <w:r>
        <w:rPr>
          <w:rFonts w:ascii="Times New Roman" w:eastAsia="Times New Roman" w:hAnsi="Times New Roman" w:cs="Times New Roman"/>
          <w:color w:val="000000"/>
          <w:lang w:val="de-DE"/>
        </w:rPr>
        <w:t xml:space="preserve">Ge, Y., Zhang, WB., Wu, X. et al. </w:t>
      </w:r>
      <w:r>
        <w:rPr>
          <w:rFonts w:ascii="Times New Roman" w:eastAsia="Times New Roman" w:hAnsi="Times New Roman" w:cs="Times New Roman"/>
          <w:color w:val="000000"/>
        </w:rPr>
        <w:t xml:space="preserve">Untangling the changing impact of non-pharmaceutical interventions and vaccination on European COVID-19 trajectories. Nat </w:t>
      </w:r>
      <w:proofErr w:type="spellStart"/>
      <w:r>
        <w:rPr>
          <w:rFonts w:ascii="Times New Roman" w:eastAsia="Times New Roman" w:hAnsi="Times New Roman" w:cs="Times New Roman"/>
          <w:color w:val="000000"/>
        </w:rPr>
        <w:t>Commun</w:t>
      </w:r>
      <w:proofErr w:type="spellEnd"/>
      <w:r>
        <w:rPr>
          <w:rFonts w:ascii="Times New Roman" w:eastAsia="Times New Roman" w:hAnsi="Times New Roman" w:cs="Times New Roman"/>
          <w:color w:val="000000"/>
        </w:rPr>
        <w:t xml:space="preserve"> 13, 3106 (2022). </w:t>
      </w:r>
      <w:hyperlink r:id="rId46" w:tooltip="https://doi.org/10.1038/s41467-022-30897-1" w:history="1">
        <w:r>
          <w:rPr>
            <w:rStyle w:val="Hyperlink"/>
            <w:rFonts w:ascii="Times New Roman" w:eastAsia="Times New Roman" w:hAnsi="Times New Roman" w:cs="Times New Roman"/>
            <w:color w:val="0563C1"/>
          </w:rPr>
          <w:t>https://doi.org/10.1038/s41467-022-30897-1</w:t>
        </w:r>
      </w:hyperlink>
    </w:p>
    <w:p w:rsidR="008A6B28" w:rsidRDefault="00DF2F8E">
      <w:pPr>
        <w:pBdr>
          <w:top w:val="none" w:sz="4" w:space="0" w:color="000000"/>
          <w:left w:val="none" w:sz="4" w:space="0" w:color="000000"/>
          <w:bottom w:val="none" w:sz="4" w:space="0" w:color="000000"/>
          <w:right w:val="none" w:sz="4" w:space="0" w:color="000000"/>
        </w:pBdr>
        <w:jc w:val="both"/>
        <w:rPr>
          <w:rStyle w:val="Hyperlink"/>
          <w:rFonts w:ascii="Times New Roman" w:eastAsia="Times New Roman" w:hAnsi="Times New Roman" w:cs="Times New Roman"/>
          <w:color w:val="0563C1"/>
        </w:rPr>
      </w:pPr>
      <w:r>
        <w:rPr>
          <w:rFonts w:ascii="Times New Roman" w:eastAsia="Times New Roman" w:hAnsi="Times New Roman" w:cs="Times New Roman"/>
          <w:color w:val="000000"/>
        </w:rPr>
        <w:t xml:space="preserve">Gavin Leech, Charlie Rogers-Smith, Joshua </w:t>
      </w:r>
      <w:proofErr w:type="spellStart"/>
      <w:r>
        <w:rPr>
          <w:rFonts w:ascii="Times New Roman" w:eastAsia="Times New Roman" w:hAnsi="Times New Roman" w:cs="Times New Roman"/>
          <w:color w:val="000000"/>
        </w:rPr>
        <w:t>Teperowski</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Monrad</w:t>
      </w:r>
      <w:proofErr w:type="spellEnd"/>
      <w:r>
        <w:rPr>
          <w:rFonts w:ascii="Times New Roman" w:eastAsia="Times New Roman" w:hAnsi="Times New Roman" w:cs="Times New Roman"/>
          <w:color w:val="000000"/>
        </w:rPr>
        <w:t xml:space="preserve">, Jonas B. </w:t>
      </w:r>
      <w:proofErr w:type="spellStart"/>
      <w:r>
        <w:rPr>
          <w:rFonts w:ascii="Times New Roman" w:eastAsia="Times New Roman" w:hAnsi="Times New Roman" w:cs="Times New Roman"/>
          <w:color w:val="000000"/>
        </w:rPr>
        <w:t>Sandbrink</w:t>
      </w:r>
      <w:proofErr w:type="spellEnd"/>
      <w:r>
        <w:rPr>
          <w:rFonts w:ascii="Times New Roman" w:eastAsia="Times New Roman" w:hAnsi="Times New Roman" w:cs="Times New Roman"/>
          <w:color w:val="000000"/>
        </w:rPr>
        <w:t xml:space="preserve">, Benedict </w:t>
      </w:r>
      <w:proofErr w:type="spellStart"/>
      <w:r>
        <w:rPr>
          <w:rFonts w:ascii="Times New Roman" w:eastAsia="Times New Roman" w:hAnsi="Times New Roman" w:cs="Times New Roman"/>
          <w:color w:val="000000"/>
        </w:rPr>
        <w:t>Snodin</w:t>
      </w:r>
      <w:proofErr w:type="spellEnd"/>
      <w:r>
        <w:rPr>
          <w:rFonts w:ascii="Times New Roman" w:eastAsia="Times New Roman" w:hAnsi="Times New Roman" w:cs="Times New Roman"/>
          <w:color w:val="000000"/>
        </w:rPr>
        <w:t xml:space="preserve">, Robert </w:t>
      </w:r>
      <w:proofErr w:type="spellStart"/>
      <w:r>
        <w:rPr>
          <w:rFonts w:ascii="Times New Roman" w:eastAsia="Times New Roman" w:hAnsi="Times New Roman" w:cs="Times New Roman"/>
          <w:color w:val="000000"/>
        </w:rPr>
        <w:t>Zinkov</w:t>
      </w:r>
      <w:proofErr w:type="spellEnd"/>
      <w:r>
        <w:rPr>
          <w:rFonts w:ascii="Times New Roman" w:eastAsia="Times New Roman" w:hAnsi="Times New Roman" w:cs="Times New Roman"/>
          <w:color w:val="000000"/>
        </w:rPr>
        <w:t xml:space="preserve">, Benjamin, John S. Brownstein, </w:t>
      </w:r>
      <w:proofErr w:type="spellStart"/>
      <w:r>
        <w:rPr>
          <w:rFonts w:ascii="Times New Roman" w:eastAsia="Times New Roman" w:hAnsi="Times New Roman" w:cs="Times New Roman"/>
          <w:color w:val="000000"/>
        </w:rPr>
        <w:t>Yarin</w:t>
      </w:r>
      <w:proofErr w:type="spellEnd"/>
      <w:r>
        <w:rPr>
          <w:rFonts w:ascii="Times New Roman" w:eastAsia="Times New Roman" w:hAnsi="Times New Roman" w:cs="Times New Roman"/>
          <w:color w:val="000000"/>
        </w:rPr>
        <w:t xml:space="preserve"> Gal, Samir Bhatt, </w:t>
      </w:r>
      <w:proofErr w:type="spellStart"/>
      <w:r>
        <w:rPr>
          <w:rFonts w:ascii="Times New Roman" w:eastAsia="Times New Roman" w:hAnsi="Times New Roman" w:cs="Times New Roman"/>
          <w:color w:val="000000"/>
        </w:rPr>
        <w:t>Mrinank</w:t>
      </w:r>
      <w:proofErr w:type="spellEnd"/>
      <w:r>
        <w:rPr>
          <w:rFonts w:ascii="Times New Roman" w:eastAsia="Times New Roman" w:hAnsi="Times New Roman" w:cs="Times New Roman"/>
          <w:color w:val="000000"/>
        </w:rPr>
        <w:t xml:space="preserve"> Sharma, </w:t>
      </w:r>
      <w:proofErr w:type="spellStart"/>
      <w:r>
        <w:rPr>
          <w:rFonts w:ascii="Times New Roman" w:eastAsia="Times New Roman" w:hAnsi="Times New Roman" w:cs="Times New Roman"/>
          <w:color w:val="000000"/>
        </w:rPr>
        <w:t>Sören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Mindermann</w:t>
      </w:r>
      <w:proofErr w:type="spellEnd"/>
      <w:r>
        <w:rPr>
          <w:rFonts w:ascii="Times New Roman" w:eastAsia="Times New Roman" w:hAnsi="Times New Roman" w:cs="Times New Roman"/>
          <w:color w:val="000000"/>
        </w:rPr>
        <w:t xml:space="preserve">, Jan M. </w:t>
      </w:r>
      <w:proofErr w:type="spellStart"/>
      <w:r>
        <w:rPr>
          <w:rFonts w:ascii="Times New Roman" w:eastAsia="Times New Roman" w:hAnsi="Times New Roman" w:cs="Times New Roman"/>
          <w:color w:val="000000"/>
        </w:rPr>
        <w:t>Brauner</w:t>
      </w:r>
      <w:proofErr w:type="spellEnd"/>
      <w:r>
        <w:rPr>
          <w:rFonts w:ascii="Times New Roman" w:eastAsia="Times New Roman" w:hAnsi="Times New Roman" w:cs="Times New Roman"/>
          <w:color w:val="000000"/>
        </w:rPr>
        <w:t xml:space="preserve">, and Laurence Aitchison. 2022. Mask wearing in community settings reduces SARS-CoV-2 transmission </w:t>
      </w:r>
      <w:hyperlink r:id="rId47" w:tooltip="https://www.pnas.org/doi/full/10.1073/pnas.2119266119" w:history="1">
        <w:r>
          <w:rPr>
            <w:rStyle w:val="Hyperlink"/>
            <w:rFonts w:ascii="Times New Roman" w:eastAsia="Times New Roman" w:hAnsi="Times New Roman" w:cs="Times New Roman"/>
            <w:color w:val="0563C1"/>
          </w:rPr>
          <w:t>https://www.pnas.org/doi/full/10.1073/pnas.2119266119</w:t>
        </w:r>
      </w:hyperlink>
    </w:p>
    <w:p w:rsidR="008A6B28" w:rsidRDefault="00DF2F8E">
      <w:pPr>
        <w:pBdr>
          <w:top w:val="none" w:sz="4" w:space="0" w:color="000000"/>
          <w:left w:val="none" w:sz="4" w:space="0" w:color="000000"/>
          <w:bottom w:val="none" w:sz="4" w:space="0" w:color="000000"/>
          <w:right w:val="none" w:sz="4" w:space="0" w:color="000000"/>
        </w:pBdr>
        <w:jc w:val="both"/>
        <w:rPr>
          <w:rFonts w:ascii="Times New Roman" w:hAnsi="Times New Roman" w:cs="Times New Roman"/>
        </w:rPr>
      </w:pPr>
      <w:r>
        <w:rPr>
          <w:rFonts w:ascii="Times New Roman" w:eastAsia="Times New Roman" w:hAnsi="Times New Roman" w:cs="Times New Roman"/>
          <w:color w:val="000000"/>
        </w:rPr>
        <w:t xml:space="preserve">Ge Y, Zhang WB, Liu H, </w:t>
      </w:r>
      <w:proofErr w:type="spellStart"/>
      <w:r>
        <w:rPr>
          <w:rFonts w:ascii="Times New Roman" w:eastAsia="Times New Roman" w:hAnsi="Times New Roman" w:cs="Times New Roman"/>
          <w:color w:val="000000"/>
        </w:rPr>
        <w:t>Ruktanonchai</w:t>
      </w:r>
      <w:proofErr w:type="spellEnd"/>
      <w:r>
        <w:rPr>
          <w:rFonts w:ascii="Times New Roman" w:eastAsia="Times New Roman" w:hAnsi="Times New Roman" w:cs="Times New Roman"/>
          <w:color w:val="000000"/>
        </w:rPr>
        <w:t xml:space="preserve"> CW, Hu M, Wu X, Song Y, </w:t>
      </w:r>
      <w:proofErr w:type="spellStart"/>
      <w:r>
        <w:rPr>
          <w:rFonts w:ascii="Times New Roman" w:eastAsia="Times New Roman" w:hAnsi="Times New Roman" w:cs="Times New Roman"/>
          <w:color w:val="000000"/>
        </w:rPr>
        <w:t>Ruktanonchai</w:t>
      </w:r>
      <w:proofErr w:type="spellEnd"/>
      <w:r>
        <w:rPr>
          <w:rFonts w:ascii="Times New Roman" w:eastAsia="Times New Roman" w:hAnsi="Times New Roman" w:cs="Times New Roman"/>
          <w:color w:val="000000"/>
        </w:rPr>
        <w:t xml:space="preserve"> NW, Yan W, Cleary E, Feng L, Li Z, Yang W, Liu M, </w:t>
      </w:r>
      <w:proofErr w:type="spellStart"/>
      <w:r>
        <w:rPr>
          <w:rFonts w:ascii="Times New Roman" w:eastAsia="Times New Roman" w:hAnsi="Times New Roman" w:cs="Times New Roman"/>
          <w:color w:val="000000"/>
        </w:rPr>
        <w:t>Tatem</w:t>
      </w:r>
      <w:proofErr w:type="spellEnd"/>
      <w:r>
        <w:rPr>
          <w:rFonts w:ascii="Times New Roman" w:eastAsia="Times New Roman" w:hAnsi="Times New Roman" w:cs="Times New Roman"/>
          <w:color w:val="000000"/>
        </w:rPr>
        <w:t xml:space="preserve"> AJ, Wang JF, Lai S. Impacts of worldwide individual non-pharmaceutical interventions on COVID-19 transmission across waves and space. </w:t>
      </w:r>
      <w:proofErr w:type="spellStart"/>
      <w:r>
        <w:rPr>
          <w:rFonts w:ascii="Times New Roman" w:eastAsia="Times New Roman" w:hAnsi="Times New Roman" w:cs="Times New Roman"/>
          <w:color w:val="000000"/>
        </w:rPr>
        <w:t>Int</w:t>
      </w:r>
      <w:proofErr w:type="spellEnd"/>
      <w:r>
        <w:rPr>
          <w:rFonts w:ascii="Times New Roman" w:eastAsia="Times New Roman" w:hAnsi="Times New Roman" w:cs="Times New Roman"/>
          <w:color w:val="000000"/>
        </w:rPr>
        <w:t xml:space="preserve"> J </w:t>
      </w:r>
      <w:proofErr w:type="spellStart"/>
      <w:r>
        <w:rPr>
          <w:rFonts w:ascii="Times New Roman" w:eastAsia="Times New Roman" w:hAnsi="Times New Roman" w:cs="Times New Roman"/>
          <w:color w:val="000000"/>
        </w:rPr>
        <w:t>Appl</w:t>
      </w:r>
      <w:proofErr w:type="spellEnd"/>
      <w:r>
        <w:rPr>
          <w:rFonts w:ascii="Times New Roman" w:eastAsia="Times New Roman" w:hAnsi="Times New Roman" w:cs="Times New Roman"/>
          <w:color w:val="000000"/>
        </w:rPr>
        <w:t xml:space="preserve"> Earth </w:t>
      </w:r>
      <w:proofErr w:type="spellStart"/>
      <w:r>
        <w:rPr>
          <w:rFonts w:ascii="Times New Roman" w:eastAsia="Times New Roman" w:hAnsi="Times New Roman" w:cs="Times New Roman"/>
          <w:color w:val="000000"/>
        </w:rPr>
        <w:t>Obs</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Geoinf</w:t>
      </w:r>
      <w:proofErr w:type="spellEnd"/>
      <w:r>
        <w:rPr>
          <w:rFonts w:ascii="Times New Roman" w:eastAsia="Times New Roman" w:hAnsi="Times New Roman" w:cs="Times New Roman"/>
          <w:color w:val="000000"/>
        </w:rPr>
        <w:t xml:space="preserve">. 2022 </w:t>
      </w:r>
      <w:proofErr w:type="gramStart"/>
      <w:r>
        <w:rPr>
          <w:rFonts w:ascii="Times New Roman" w:eastAsia="Times New Roman" w:hAnsi="Times New Roman" w:cs="Times New Roman"/>
          <w:color w:val="000000"/>
        </w:rPr>
        <w:t>Feb;106:102649</w:t>
      </w:r>
      <w:proofErr w:type="gram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doi</w:t>
      </w:r>
      <w:proofErr w:type="spellEnd"/>
      <w:r>
        <w:rPr>
          <w:rFonts w:ascii="Times New Roman" w:eastAsia="Times New Roman" w:hAnsi="Times New Roman" w:cs="Times New Roman"/>
          <w:color w:val="000000"/>
        </w:rPr>
        <w:t>: 10.1016/j.jag.2021.102649. PMCID: PMC8666325.</w:t>
      </w:r>
    </w:p>
    <w:p w:rsidR="008A6B28" w:rsidRDefault="00DF2F8E">
      <w:pPr>
        <w:pBdr>
          <w:top w:val="none" w:sz="4" w:space="0" w:color="000000"/>
          <w:left w:val="none" w:sz="4" w:space="0" w:color="000000"/>
          <w:bottom w:val="none" w:sz="4" w:space="0" w:color="000000"/>
          <w:right w:val="none" w:sz="4" w:space="0" w:color="000000"/>
        </w:pBdr>
        <w:jc w:val="both"/>
        <w:rPr>
          <w:rFonts w:ascii="Times New Roman" w:eastAsia="Times New Roman" w:hAnsi="Times New Roman" w:cs="Times New Roman"/>
          <w:color w:val="000000"/>
          <w:lang w:val="de-DE"/>
        </w:rPr>
      </w:pPr>
      <w:proofErr w:type="spellStart"/>
      <w:r>
        <w:rPr>
          <w:rFonts w:ascii="Times New Roman" w:eastAsia="Times New Roman" w:hAnsi="Times New Roman" w:cs="Times New Roman"/>
          <w:color w:val="000000"/>
        </w:rPr>
        <w:t>Huy</w:t>
      </w:r>
      <w:proofErr w:type="spellEnd"/>
      <w:r>
        <w:rPr>
          <w:rFonts w:ascii="Times New Roman" w:eastAsia="Times New Roman" w:hAnsi="Times New Roman" w:cs="Times New Roman"/>
          <w:color w:val="000000"/>
        </w:rPr>
        <w:t xml:space="preserve">, Le </w:t>
      </w:r>
      <w:proofErr w:type="spellStart"/>
      <w:r>
        <w:rPr>
          <w:rFonts w:ascii="Times New Roman" w:eastAsia="Times New Roman" w:hAnsi="Times New Roman" w:cs="Times New Roman"/>
          <w:color w:val="000000"/>
        </w:rPr>
        <w:t>Duc</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Nhi</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Thi</w:t>
      </w:r>
      <w:proofErr w:type="spellEnd"/>
      <w:r>
        <w:rPr>
          <w:rFonts w:ascii="Times New Roman" w:eastAsia="Times New Roman" w:hAnsi="Times New Roman" w:cs="Times New Roman"/>
          <w:color w:val="000000"/>
        </w:rPr>
        <w:t xml:space="preserve"> Hong Nguyen, Phan </w:t>
      </w:r>
      <w:proofErr w:type="spellStart"/>
      <w:r>
        <w:rPr>
          <w:rFonts w:ascii="Times New Roman" w:eastAsia="Times New Roman" w:hAnsi="Times New Roman" w:cs="Times New Roman"/>
          <w:color w:val="000000"/>
        </w:rPr>
        <w:t>Thanh</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Phuc</w:t>
      </w:r>
      <w:proofErr w:type="spellEnd"/>
      <w:r>
        <w:rPr>
          <w:rFonts w:ascii="Times New Roman" w:eastAsia="Times New Roman" w:hAnsi="Times New Roman" w:cs="Times New Roman"/>
          <w:color w:val="000000"/>
        </w:rPr>
        <w:t>, and Chung-</w:t>
      </w:r>
      <w:proofErr w:type="spellStart"/>
      <w:r>
        <w:rPr>
          <w:rFonts w:ascii="Times New Roman" w:eastAsia="Times New Roman" w:hAnsi="Times New Roman" w:cs="Times New Roman"/>
          <w:color w:val="000000"/>
        </w:rPr>
        <w:t>Chien</w:t>
      </w:r>
      <w:proofErr w:type="spellEnd"/>
      <w:r>
        <w:rPr>
          <w:rFonts w:ascii="Times New Roman" w:eastAsia="Times New Roman" w:hAnsi="Times New Roman" w:cs="Times New Roman"/>
          <w:color w:val="000000"/>
        </w:rPr>
        <w:t xml:space="preserve"> Huang. 2022. "The Effects of Non-Pharmaceutical Interventions on COVID-19 Epidemic Growth Rate during Pre- and Post-Vaccination Period in Asian Countries" International Journal of Environmental Research and Public Health 19, no. 3: 1139. </w:t>
      </w:r>
      <w:hyperlink r:id="rId48" w:tooltip="https://doi.org/10.3390/ijerph19031139" w:history="1">
        <w:r>
          <w:rPr>
            <w:rStyle w:val="Hyperlink"/>
            <w:rFonts w:ascii="Times New Roman" w:eastAsia="Times New Roman" w:hAnsi="Times New Roman" w:cs="Times New Roman"/>
            <w:color w:val="0563C1"/>
            <w:lang w:val="de-DE"/>
          </w:rPr>
          <w:t>https://doi.org/10.3390/ijerph19031139</w:t>
        </w:r>
      </w:hyperlink>
      <w:r>
        <w:rPr>
          <w:rFonts w:ascii="Times New Roman" w:eastAsia="Times New Roman" w:hAnsi="Times New Roman" w:cs="Times New Roman"/>
          <w:color w:val="000000"/>
          <w:lang w:val="de-DE"/>
        </w:rPr>
        <w:t>.</w:t>
      </w:r>
    </w:p>
    <w:p w:rsidR="008A6B28" w:rsidRDefault="00DF2F8E">
      <w:pPr>
        <w:pBdr>
          <w:top w:val="none" w:sz="4" w:space="0" w:color="000000"/>
          <w:left w:val="none" w:sz="4" w:space="0" w:color="000000"/>
          <w:bottom w:val="none" w:sz="4" w:space="0" w:color="000000"/>
          <w:right w:val="none" w:sz="4" w:space="0" w:color="000000"/>
        </w:pBdr>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James </w:t>
      </w:r>
      <w:proofErr w:type="spellStart"/>
      <w:r>
        <w:rPr>
          <w:rFonts w:ascii="Times New Roman" w:eastAsia="Times New Roman" w:hAnsi="Times New Roman" w:cs="Times New Roman"/>
          <w:color w:val="000000"/>
        </w:rPr>
        <w:t>Bergstra</w:t>
      </w:r>
      <w:proofErr w:type="spellEnd"/>
      <w:r>
        <w:rPr>
          <w:rFonts w:ascii="Times New Roman" w:eastAsia="Times New Roman" w:hAnsi="Times New Roman" w:cs="Times New Roman"/>
          <w:color w:val="000000"/>
        </w:rPr>
        <w:t xml:space="preserve">, Olivier </w:t>
      </w:r>
      <w:proofErr w:type="spellStart"/>
      <w:r>
        <w:rPr>
          <w:rFonts w:ascii="Times New Roman" w:eastAsia="Times New Roman" w:hAnsi="Times New Roman" w:cs="Times New Roman"/>
          <w:color w:val="000000"/>
        </w:rPr>
        <w:t>Breuleux</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Frédéric</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Bastien</w:t>
      </w:r>
      <w:proofErr w:type="spellEnd"/>
      <w:r>
        <w:rPr>
          <w:rFonts w:ascii="Times New Roman" w:eastAsia="Times New Roman" w:hAnsi="Times New Roman" w:cs="Times New Roman"/>
          <w:color w:val="000000"/>
        </w:rPr>
        <w:t xml:space="preserve">, Pascal </w:t>
      </w:r>
      <w:proofErr w:type="spellStart"/>
      <w:r>
        <w:rPr>
          <w:rFonts w:ascii="Times New Roman" w:eastAsia="Times New Roman" w:hAnsi="Times New Roman" w:cs="Times New Roman"/>
          <w:color w:val="000000"/>
        </w:rPr>
        <w:t>Lamblin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Razvan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Pascanu</w:t>
      </w:r>
      <w:proofErr w:type="spellEnd"/>
      <w:r>
        <w:rPr>
          <w:rFonts w:ascii="Times New Roman" w:eastAsia="Times New Roman" w:hAnsi="Times New Roman" w:cs="Times New Roman"/>
          <w:color w:val="000000"/>
        </w:rPr>
        <w:t xml:space="preserve">, Guillaume Desjardins, Joseph </w:t>
      </w:r>
      <w:proofErr w:type="spellStart"/>
      <w:r>
        <w:rPr>
          <w:rFonts w:ascii="Times New Roman" w:eastAsia="Times New Roman" w:hAnsi="Times New Roman" w:cs="Times New Roman"/>
          <w:color w:val="000000"/>
        </w:rPr>
        <w:t>Turian</w:t>
      </w:r>
      <w:proofErr w:type="spellEnd"/>
      <w:r>
        <w:rPr>
          <w:rFonts w:ascii="Times New Roman" w:eastAsia="Times New Roman" w:hAnsi="Times New Roman" w:cs="Times New Roman"/>
          <w:color w:val="000000"/>
        </w:rPr>
        <w:t xml:space="preserve">, David </w:t>
      </w:r>
      <w:proofErr w:type="spellStart"/>
      <w:r>
        <w:rPr>
          <w:rFonts w:ascii="Times New Roman" w:eastAsia="Times New Roman" w:hAnsi="Times New Roman" w:cs="Times New Roman"/>
          <w:color w:val="000000"/>
        </w:rPr>
        <w:t>Warde</w:t>
      </w:r>
      <w:proofErr w:type="spellEnd"/>
      <w:r>
        <w:rPr>
          <w:rFonts w:ascii="Times New Roman" w:eastAsia="Times New Roman" w:hAnsi="Times New Roman" w:cs="Times New Roman"/>
          <w:color w:val="000000"/>
        </w:rPr>
        <w:t xml:space="preserve">-Farley, </w:t>
      </w:r>
      <w:proofErr w:type="spellStart"/>
      <w:r>
        <w:rPr>
          <w:rFonts w:ascii="Times New Roman" w:eastAsia="Times New Roman" w:hAnsi="Times New Roman" w:cs="Times New Roman"/>
          <w:color w:val="000000"/>
        </w:rPr>
        <w:t>Yoshua</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Bengio</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Theano</w:t>
      </w:r>
      <w:proofErr w:type="spellEnd"/>
      <w:r>
        <w:rPr>
          <w:rFonts w:ascii="Times New Roman" w:eastAsia="Times New Roman" w:hAnsi="Times New Roman" w:cs="Times New Roman"/>
          <w:color w:val="000000"/>
        </w:rPr>
        <w:t>: A CPU and GPU Math Compiler in Python. PROC. OF THE 9th PYTHON IN SCIENCE CONF. (SCIPY 2010)</w:t>
      </w:r>
    </w:p>
    <w:p w:rsidR="008A6B28" w:rsidRDefault="00DF2F8E">
      <w:pPr>
        <w:pBdr>
          <w:top w:val="none" w:sz="4" w:space="0" w:color="000000"/>
          <w:left w:val="none" w:sz="4" w:space="0" w:color="000000"/>
          <w:bottom w:val="none" w:sz="4" w:space="0" w:color="000000"/>
          <w:right w:val="none" w:sz="4" w:space="0" w:color="000000"/>
        </w:pBdr>
        <w:spacing w:line="235" w:lineRule="atLeast"/>
        <w:jc w:val="both"/>
      </w:pPr>
      <w:proofErr w:type="spellStart"/>
      <w:r>
        <w:rPr>
          <w:rFonts w:ascii="Times New Roman" w:eastAsia="Times New Roman" w:hAnsi="Times New Roman" w:cs="Times New Roman"/>
          <w:color w:val="000000"/>
        </w:rPr>
        <w:t>Kamineni</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Meghana</w:t>
      </w:r>
      <w:proofErr w:type="spellEnd"/>
      <w:r>
        <w:rPr>
          <w:rFonts w:ascii="Times New Roman" w:eastAsia="Times New Roman" w:hAnsi="Times New Roman" w:cs="Times New Roman"/>
          <w:color w:val="000000"/>
        </w:rPr>
        <w:t xml:space="preserve"> and </w:t>
      </w:r>
      <w:proofErr w:type="spellStart"/>
      <w:r>
        <w:rPr>
          <w:rFonts w:ascii="Times New Roman" w:eastAsia="Times New Roman" w:hAnsi="Times New Roman" w:cs="Times New Roman"/>
          <w:color w:val="000000"/>
        </w:rPr>
        <w:t>Engø-Monsen</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Kenth</w:t>
      </w:r>
      <w:proofErr w:type="spellEnd"/>
      <w:r>
        <w:rPr>
          <w:rFonts w:ascii="Times New Roman" w:eastAsia="Times New Roman" w:hAnsi="Times New Roman" w:cs="Times New Roman"/>
          <w:color w:val="000000"/>
        </w:rPr>
        <w:t xml:space="preserve"> and </w:t>
      </w:r>
      <w:proofErr w:type="spellStart"/>
      <w:r>
        <w:rPr>
          <w:rFonts w:ascii="Times New Roman" w:eastAsia="Times New Roman" w:hAnsi="Times New Roman" w:cs="Times New Roman"/>
          <w:color w:val="000000"/>
        </w:rPr>
        <w:t>Midtbø</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Jørgen</w:t>
      </w:r>
      <w:proofErr w:type="spellEnd"/>
      <w:r>
        <w:rPr>
          <w:rFonts w:ascii="Times New Roman" w:eastAsia="Times New Roman" w:hAnsi="Times New Roman" w:cs="Times New Roman"/>
          <w:color w:val="000000"/>
        </w:rPr>
        <w:t xml:space="preserve"> E and </w:t>
      </w:r>
      <w:proofErr w:type="spellStart"/>
      <w:r>
        <w:rPr>
          <w:rFonts w:ascii="Times New Roman" w:eastAsia="Times New Roman" w:hAnsi="Times New Roman" w:cs="Times New Roman"/>
          <w:color w:val="000000"/>
        </w:rPr>
        <w:t>Forland</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Frode</w:t>
      </w:r>
      <w:proofErr w:type="spellEnd"/>
      <w:r>
        <w:rPr>
          <w:rFonts w:ascii="Times New Roman" w:eastAsia="Times New Roman" w:hAnsi="Times New Roman" w:cs="Times New Roman"/>
          <w:color w:val="000000"/>
        </w:rPr>
        <w:t xml:space="preserve"> and de </w:t>
      </w:r>
      <w:proofErr w:type="spellStart"/>
      <w:r>
        <w:rPr>
          <w:rFonts w:ascii="Times New Roman" w:eastAsia="Times New Roman" w:hAnsi="Times New Roman" w:cs="Times New Roman"/>
          <w:color w:val="000000"/>
        </w:rPr>
        <w:t>Blasio</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Birgitte</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Freiesleben</w:t>
      </w:r>
      <w:proofErr w:type="spellEnd"/>
      <w:r>
        <w:rPr>
          <w:rFonts w:ascii="Times New Roman" w:eastAsia="Times New Roman" w:hAnsi="Times New Roman" w:cs="Times New Roman"/>
          <w:color w:val="000000"/>
        </w:rPr>
        <w:t xml:space="preserve"> and </w:t>
      </w:r>
      <w:proofErr w:type="spellStart"/>
      <w:r>
        <w:rPr>
          <w:rFonts w:ascii="Times New Roman" w:eastAsia="Times New Roman" w:hAnsi="Times New Roman" w:cs="Times New Roman"/>
          <w:color w:val="000000"/>
        </w:rPr>
        <w:t>Frigessi</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Arnoldo</w:t>
      </w:r>
      <w:proofErr w:type="spellEnd"/>
      <w:r>
        <w:rPr>
          <w:rFonts w:ascii="Times New Roman" w:eastAsia="Times New Roman" w:hAnsi="Times New Roman" w:cs="Times New Roman"/>
          <w:color w:val="000000"/>
        </w:rPr>
        <w:t xml:space="preserve"> and </w:t>
      </w:r>
      <w:proofErr w:type="spellStart"/>
      <w:r>
        <w:rPr>
          <w:rFonts w:ascii="Times New Roman" w:eastAsia="Times New Roman" w:hAnsi="Times New Roman" w:cs="Times New Roman"/>
          <w:color w:val="000000"/>
        </w:rPr>
        <w:t>Engebretsen</w:t>
      </w:r>
      <w:proofErr w:type="spellEnd"/>
      <w:r>
        <w:rPr>
          <w:rFonts w:ascii="Times New Roman" w:eastAsia="Times New Roman" w:hAnsi="Times New Roman" w:cs="Times New Roman"/>
          <w:color w:val="000000"/>
        </w:rPr>
        <w:t xml:space="preserve">, Solveig, Effects of non-compulsory and mandatory COVID-19 interventions on travel distance and time away from home, Norway, 2021 </w:t>
      </w:r>
      <w:proofErr w:type="spellStart"/>
      <w:r>
        <w:rPr>
          <w:rFonts w:ascii="Times New Roman" w:eastAsia="Times New Roman" w:hAnsi="Times New Roman" w:cs="Times New Roman"/>
          <w:color w:val="000000"/>
        </w:rPr>
        <w:t>Eurosurveillance</w:t>
      </w:r>
      <w:proofErr w:type="spellEnd"/>
      <w:r>
        <w:rPr>
          <w:rFonts w:ascii="Times New Roman" w:eastAsia="Times New Roman" w:hAnsi="Times New Roman" w:cs="Times New Roman"/>
          <w:color w:val="000000"/>
        </w:rPr>
        <w:t xml:space="preserve">, 28, 2200382 (2023), </w:t>
      </w:r>
      <w:hyperlink r:id="rId49" w:tooltip="https://doi.org/10.2807/1560-7917.ES.2023.28.17.2200382" w:history="1">
        <w:r>
          <w:rPr>
            <w:rStyle w:val="Hyperlink"/>
            <w:rFonts w:ascii="Times New Roman" w:eastAsia="Times New Roman" w:hAnsi="Times New Roman" w:cs="Times New Roman"/>
            <w:color w:val="0563C1"/>
          </w:rPr>
          <w:t>https://doi.org/10.2807/1560-7917.ES.2023.28.17.2200382</w:t>
        </w:r>
      </w:hyperlink>
    </w:p>
    <w:p w:rsidR="008A6B28" w:rsidRDefault="00DF2F8E">
      <w:pPr>
        <w:pBdr>
          <w:top w:val="none" w:sz="4" w:space="0" w:color="000000"/>
          <w:left w:val="none" w:sz="4" w:space="0" w:color="000000"/>
          <w:bottom w:val="none" w:sz="4" w:space="0" w:color="000000"/>
          <w:right w:val="none" w:sz="4" w:space="0" w:color="000000"/>
        </w:pBdr>
        <w:jc w:val="both"/>
        <w:rPr>
          <w:rStyle w:val="Hyperlink"/>
          <w:rFonts w:ascii="Times New Roman" w:eastAsia="Times New Roman" w:hAnsi="Times New Roman" w:cs="Times New Roman"/>
          <w:color w:val="0563C1"/>
        </w:rPr>
      </w:pPr>
      <w:r>
        <w:rPr>
          <w:rFonts w:ascii="Times New Roman" w:eastAsia="Times New Roman" w:hAnsi="Times New Roman" w:cs="Times New Roman"/>
          <w:color w:val="000000"/>
        </w:rPr>
        <w:lastRenderedPageBreak/>
        <w:t xml:space="preserve">Liu, Y., Yu, Q., Wen, H. et al. What matters: non-pharmaceutical interventions for COVID-19 in Europe. </w:t>
      </w:r>
      <w:proofErr w:type="spellStart"/>
      <w:r>
        <w:rPr>
          <w:rFonts w:ascii="Times New Roman" w:eastAsia="Times New Roman" w:hAnsi="Times New Roman" w:cs="Times New Roman"/>
          <w:color w:val="000000"/>
        </w:rPr>
        <w:t>Antimicrob</w:t>
      </w:r>
      <w:proofErr w:type="spellEnd"/>
      <w:r>
        <w:rPr>
          <w:rFonts w:ascii="Times New Roman" w:eastAsia="Times New Roman" w:hAnsi="Times New Roman" w:cs="Times New Roman"/>
          <w:color w:val="000000"/>
        </w:rPr>
        <w:t xml:space="preserve"> Resist Infect Control 11, 3 (2022). </w:t>
      </w:r>
      <w:hyperlink r:id="rId50" w:tooltip="https://doi.org/10.1186/s13756-021-01039-x" w:history="1">
        <w:r>
          <w:rPr>
            <w:rStyle w:val="Hyperlink"/>
            <w:rFonts w:ascii="Times New Roman" w:eastAsia="Times New Roman" w:hAnsi="Times New Roman" w:cs="Times New Roman"/>
            <w:color w:val="0563C1"/>
          </w:rPr>
          <w:t>https://doi.org/10.1186/s13756-021-01039-x</w:t>
        </w:r>
      </w:hyperlink>
    </w:p>
    <w:p w:rsidR="008A6B28" w:rsidRDefault="00DF2F8E">
      <w:pPr>
        <w:jc w:val="both"/>
        <w:rPr>
          <w:rFonts w:ascii="Times New Roman" w:hAnsi="Times New Roman" w:cs="Times New Roman"/>
        </w:rPr>
      </w:pPr>
      <w:r>
        <w:rPr>
          <w:rFonts w:ascii="Times New Roman" w:eastAsia="Times New Roman" w:hAnsi="Times New Roman" w:cs="Times New Roman"/>
          <w:color w:val="000000"/>
        </w:rPr>
        <w:t xml:space="preserve">Lawson, Andrew, and </w:t>
      </w:r>
      <w:proofErr w:type="spellStart"/>
      <w:r>
        <w:rPr>
          <w:rFonts w:ascii="Times New Roman" w:eastAsia="Times New Roman" w:hAnsi="Times New Roman" w:cs="Times New Roman"/>
          <w:color w:val="000000"/>
        </w:rPr>
        <w:t>Chawarat</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Rotejanaprasert</w:t>
      </w:r>
      <w:proofErr w:type="spellEnd"/>
      <w:r>
        <w:rPr>
          <w:rFonts w:ascii="Times New Roman" w:eastAsia="Times New Roman" w:hAnsi="Times New Roman" w:cs="Times New Roman"/>
          <w:color w:val="000000"/>
        </w:rPr>
        <w:t xml:space="preserve">. 2023. "Bayesian </w:t>
      </w:r>
      <w:proofErr w:type="spellStart"/>
      <w:r>
        <w:rPr>
          <w:rFonts w:ascii="Times New Roman" w:eastAsia="Times New Roman" w:hAnsi="Times New Roman" w:cs="Times New Roman"/>
          <w:color w:val="000000"/>
        </w:rPr>
        <w:t>Spatio</w:t>
      </w:r>
      <w:proofErr w:type="spellEnd"/>
      <w:r>
        <w:rPr>
          <w:rFonts w:ascii="Times New Roman" w:eastAsia="Times New Roman" w:hAnsi="Times New Roman" w:cs="Times New Roman"/>
          <w:color w:val="000000"/>
        </w:rPr>
        <w:t xml:space="preserve">-Temporal Prediction and Counterfactual Generation: An Application in Non-Pharmaceutical Interventions in COVID-19" Viruses 15, no. 2: 325. </w:t>
      </w:r>
      <w:hyperlink r:id="rId51" w:tooltip="https://doi.org/10.3390/v15020325" w:history="1">
        <w:r>
          <w:rPr>
            <w:rStyle w:val="Hyperlink"/>
            <w:rFonts w:ascii="Times New Roman" w:eastAsia="Times New Roman" w:hAnsi="Times New Roman" w:cs="Times New Roman"/>
            <w:color w:val="0563C1"/>
          </w:rPr>
          <w:t>https://doi.org/10.3390/v15020325</w:t>
        </w:r>
      </w:hyperlink>
    </w:p>
    <w:p w:rsidR="008A6B28" w:rsidRDefault="00DF2F8E">
      <w:pPr>
        <w:pBdr>
          <w:top w:val="none" w:sz="4" w:space="0" w:color="000000"/>
          <w:left w:val="none" w:sz="4" w:space="0" w:color="000000"/>
          <w:bottom w:val="none" w:sz="4" w:space="0" w:color="000000"/>
          <w:right w:val="none" w:sz="4" w:space="0" w:color="000000"/>
        </w:pBdr>
        <w:jc w:val="both"/>
        <w:rPr>
          <w:rStyle w:val="Hyperlink"/>
          <w:rFonts w:ascii="Times New Roman" w:eastAsia="Times New Roman" w:hAnsi="Times New Roman" w:cs="Times New Roman"/>
          <w:color w:val="0563C1"/>
        </w:rPr>
      </w:pPr>
      <w:proofErr w:type="spellStart"/>
      <w:r>
        <w:rPr>
          <w:rFonts w:ascii="Times New Roman" w:eastAsia="Times New Roman" w:hAnsi="Times New Roman" w:cs="Times New Roman"/>
          <w:color w:val="000000"/>
        </w:rPr>
        <w:t>Lionello</w:t>
      </w:r>
      <w:proofErr w:type="spellEnd"/>
      <w:r>
        <w:rPr>
          <w:rFonts w:ascii="Times New Roman" w:eastAsia="Times New Roman" w:hAnsi="Times New Roman" w:cs="Times New Roman"/>
          <w:color w:val="000000"/>
        </w:rPr>
        <w:t xml:space="preserve">, Lorenzo and </w:t>
      </w:r>
      <w:proofErr w:type="spellStart"/>
      <w:r>
        <w:rPr>
          <w:rFonts w:ascii="Times New Roman" w:eastAsia="Times New Roman" w:hAnsi="Times New Roman" w:cs="Times New Roman"/>
          <w:color w:val="000000"/>
        </w:rPr>
        <w:t>Stranges</w:t>
      </w:r>
      <w:proofErr w:type="spellEnd"/>
      <w:r>
        <w:rPr>
          <w:rFonts w:ascii="Times New Roman" w:eastAsia="Times New Roman" w:hAnsi="Times New Roman" w:cs="Times New Roman"/>
          <w:color w:val="000000"/>
        </w:rPr>
        <w:t xml:space="preserve">, Debora and </w:t>
      </w:r>
      <w:proofErr w:type="spellStart"/>
      <w:r>
        <w:rPr>
          <w:rFonts w:ascii="Times New Roman" w:eastAsia="Times New Roman" w:hAnsi="Times New Roman" w:cs="Times New Roman"/>
          <w:color w:val="000000"/>
        </w:rPr>
        <w:t>Karki</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Tommi</w:t>
      </w:r>
      <w:proofErr w:type="spellEnd"/>
      <w:r>
        <w:rPr>
          <w:rFonts w:ascii="Times New Roman" w:eastAsia="Times New Roman" w:hAnsi="Times New Roman" w:cs="Times New Roman"/>
          <w:color w:val="000000"/>
        </w:rPr>
        <w:t xml:space="preserve"> and Wiltshire, Emma and </w:t>
      </w:r>
      <w:proofErr w:type="spellStart"/>
      <w:r>
        <w:rPr>
          <w:rFonts w:ascii="Times New Roman" w:eastAsia="Times New Roman" w:hAnsi="Times New Roman" w:cs="Times New Roman"/>
          <w:color w:val="000000"/>
        </w:rPr>
        <w:t>Proietti</w:t>
      </w:r>
      <w:proofErr w:type="spellEnd"/>
      <w:r>
        <w:rPr>
          <w:rFonts w:ascii="Times New Roman" w:eastAsia="Times New Roman" w:hAnsi="Times New Roman" w:cs="Times New Roman"/>
          <w:color w:val="000000"/>
        </w:rPr>
        <w:t xml:space="preserve">, Chiara and </w:t>
      </w:r>
      <w:proofErr w:type="spellStart"/>
      <w:r>
        <w:rPr>
          <w:rFonts w:ascii="Times New Roman" w:eastAsia="Times New Roman" w:hAnsi="Times New Roman" w:cs="Times New Roman"/>
          <w:color w:val="000000"/>
        </w:rPr>
        <w:t>Annunziato</w:t>
      </w:r>
      <w:proofErr w:type="spellEnd"/>
      <w:r>
        <w:rPr>
          <w:rFonts w:ascii="Times New Roman" w:eastAsia="Times New Roman" w:hAnsi="Times New Roman" w:cs="Times New Roman"/>
          <w:color w:val="000000"/>
        </w:rPr>
        <w:t xml:space="preserve">, Alessandro and </w:t>
      </w:r>
      <w:proofErr w:type="spellStart"/>
      <w:r>
        <w:rPr>
          <w:rFonts w:ascii="Times New Roman" w:eastAsia="Times New Roman" w:hAnsi="Times New Roman" w:cs="Times New Roman"/>
          <w:color w:val="000000"/>
        </w:rPr>
        <w:t>Jansa</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Josep</w:t>
      </w:r>
      <w:proofErr w:type="spellEnd"/>
      <w:r>
        <w:rPr>
          <w:rFonts w:ascii="Times New Roman" w:eastAsia="Times New Roman" w:hAnsi="Times New Roman" w:cs="Times New Roman"/>
          <w:color w:val="000000"/>
        </w:rPr>
        <w:t xml:space="preserve"> and </w:t>
      </w:r>
      <w:proofErr w:type="spellStart"/>
      <w:r>
        <w:rPr>
          <w:rFonts w:ascii="Times New Roman" w:eastAsia="Times New Roman" w:hAnsi="Times New Roman" w:cs="Times New Roman"/>
          <w:color w:val="000000"/>
        </w:rPr>
        <w:t>Severi</w:t>
      </w:r>
      <w:proofErr w:type="spellEnd"/>
      <w:r>
        <w:rPr>
          <w:rFonts w:ascii="Times New Roman" w:eastAsia="Times New Roman" w:hAnsi="Times New Roman" w:cs="Times New Roman"/>
          <w:color w:val="000000"/>
        </w:rPr>
        <w:t xml:space="preserve">, Ettore and on behalf of the ECDC–JRC Response Measures Database working group, Non-pharmaceutical interventions in response to the COVID-19 pandemic in 30 European countries: the ECDC–JRC Response Measures Database </w:t>
      </w:r>
      <w:proofErr w:type="spellStart"/>
      <w:r>
        <w:rPr>
          <w:rFonts w:ascii="Times New Roman" w:eastAsia="Times New Roman" w:hAnsi="Times New Roman" w:cs="Times New Roman"/>
          <w:color w:val="000000"/>
        </w:rPr>
        <w:t>Eurosurveillance</w:t>
      </w:r>
      <w:proofErr w:type="spellEnd"/>
      <w:r>
        <w:rPr>
          <w:rFonts w:ascii="Times New Roman" w:eastAsia="Times New Roman" w:hAnsi="Times New Roman" w:cs="Times New Roman"/>
          <w:color w:val="000000"/>
        </w:rPr>
        <w:t xml:space="preserve">, 27, 2101190 (2022), </w:t>
      </w:r>
      <w:hyperlink r:id="rId52" w:tooltip="https://doi.org/10.2807/1560-7917.ES.2022.27.41.2101190" w:history="1">
        <w:r>
          <w:rPr>
            <w:rStyle w:val="Hyperlink"/>
            <w:rFonts w:ascii="Times New Roman" w:eastAsia="Times New Roman" w:hAnsi="Times New Roman" w:cs="Times New Roman"/>
            <w:color w:val="0563C1"/>
          </w:rPr>
          <w:t>https://doi.org/10.2807/1560-7917.ES.2022.27.41.2101190</w:t>
        </w:r>
      </w:hyperlink>
    </w:p>
    <w:p w:rsidR="008A6B28" w:rsidRDefault="00DF2F8E">
      <w:pPr>
        <w:pBdr>
          <w:top w:val="none" w:sz="4" w:space="0" w:color="000000"/>
          <w:left w:val="none" w:sz="4" w:space="0" w:color="000000"/>
          <w:bottom w:val="none" w:sz="4" w:space="0" w:color="000000"/>
          <w:right w:val="none" w:sz="4" w:space="0" w:color="000000"/>
        </w:pBdr>
        <w:jc w:val="both"/>
        <w:rPr>
          <w:rFonts w:ascii="Times New Roman" w:hAnsi="Times New Roman" w:cs="Times New Roman"/>
        </w:rPr>
      </w:pPr>
      <w:r>
        <w:rPr>
          <w:rFonts w:ascii="Times New Roman" w:eastAsia="Times New Roman" w:hAnsi="Times New Roman" w:cs="Times New Roman"/>
          <w:color w:val="000000"/>
        </w:rPr>
        <w:t xml:space="preserve">Matthew D. Hoffman, Andrew </w:t>
      </w:r>
      <w:proofErr w:type="spellStart"/>
      <w:r>
        <w:rPr>
          <w:rFonts w:ascii="Times New Roman" w:eastAsia="Times New Roman" w:hAnsi="Times New Roman" w:cs="Times New Roman"/>
          <w:color w:val="000000"/>
        </w:rPr>
        <w:t>Gelman</w:t>
      </w:r>
      <w:proofErr w:type="spellEnd"/>
      <w:r>
        <w:rPr>
          <w:rFonts w:ascii="Times New Roman" w:eastAsia="Times New Roman" w:hAnsi="Times New Roman" w:cs="Times New Roman"/>
          <w:color w:val="000000"/>
        </w:rPr>
        <w:t>. The No-U-Turn Sampler: Adaptively Setting Path Lengths in Hamiltonian Monte Carlo. Journal of Machine Learning Research 15 (2014) 1593-1623.</w:t>
      </w:r>
    </w:p>
    <w:p w:rsidR="008A6B28" w:rsidRDefault="00DF2F8E">
      <w:pPr>
        <w:pBdr>
          <w:top w:val="none" w:sz="4" w:space="0" w:color="000000"/>
          <w:left w:val="none" w:sz="4" w:space="0" w:color="000000"/>
          <w:bottom w:val="none" w:sz="4" w:space="0" w:color="000000"/>
          <w:right w:val="none" w:sz="4" w:space="0" w:color="000000"/>
        </w:pBdr>
        <w:jc w:val="both"/>
        <w:rPr>
          <w:rFonts w:ascii="Times New Roman" w:hAnsi="Times New Roman" w:cs="Times New Roman"/>
        </w:rPr>
      </w:pPr>
      <w:r>
        <w:rPr>
          <w:rFonts w:ascii="Times New Roman" w:eastAsia="Times New Roman" w:hAnsi="Times New Roman" w:cs="Times New Roman"/>
          <w:color w:val="000000"/>
        </w:rPr>
        <w:t xml:space="preserve">Michael </w:t>
      </w:r>
      <w:proofErr w:type="spellStart"/>
      <w:r>
        <w:rPr>
          <w:rFonts w:ascii="Times New Roman" w:eastAsia="Times New Roman" w:hAnsi="Times New Roman" w:cs="Times New Roman"/>
          <w:color w:val="000000"/>
        </w:rPr>
        <w:t>Lingzhi</w:t>
      </w:r>
      <w:proofErr w:type="spellEnd"/>
      <w:r>
        <w:rPr>
          <w:rFonts w:ascii="Times New Roman" w:eastAsia="Times New Roman" w:hAnsi="Times New Roman" w:cs="Times New Roman"/>
          <w:color w:val="000000"/>
        </w:rPr>
        <w:t xml:space="preserve"> Li, Hamza Tazi </w:t>
      </w:r>
      <w:proofErr w:type="spellStart"/>
      <w:r>
        <w:rPr>
          <w:rFonts w:ascii="Times New Roman" w:eastAsia="Times New Roman" w:hAnsi="Times New Roman" w:cs="Times New Roman"/>
          <w:color w:val="000000"/>
        </w:rPr>
        <w:t>Bouardi</w:t>
      </w:r>
      <w:proofErr w:type="spellEnd"/>
      <w:r>
        <w:rPr>
          <w:rFonts w:ascii="Times New Roman" w:eastAsia="Times New Roman" w:hAnsi="Times New Roman" w:cs="Times New Roman"/>
          <w:color w:val="000000"/>
        </w:rPr>
        <w:t xml:space="preserve">, Omar </w:t>
      </w:r>
      <w:proofErr w:type="spellStart"/>
      <w:r>
        <w:rPr>
          <w:rFonts w:ascii="Times New Roman" w:eastAsia="Times New Roman" w:hAnsi="Times New Roman" w:cs="Times New Roman"/>
          <w:color w:val="000000"/>
        </w:rPr>
        <w:t>Skali</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Lami</w:t>
      </w:r>
      <w:proofErr w:type="spellEnd"/>
      <w:r>
        <w:rPr>
          <w:rFonts w:ascii="Times New Roman" w:eastAsia="Times New Roman" w:hAnsi="Times New Roman" w:cs="Times New Roman"/>
          <w:color w:val="000000"/>
        </w:rPr>
        <w:t xml:space="preserve">, Thomas A. </w:t>
      </w:r>
      <w:proofErr w:type="spellStart"/>
      <w:r>
        <w:rPr>
          <w:rFonts w:ascii="Times New Roman" w:eastAsia="Times New Roman" w:hAnsi="Times New Roman" w:cs="Times New Roman"/>
          <w:color w:val="000000"/>
        </w:rPr>
        <w:t>Trikalinos</w:t>
      </w:r>
      <w:proofErr w:type="spellEnd"/>
      <w:r>
        <w:rPr>
          <w:rFonts w:ascii="Times New Roman" w:eastAsia="Times New Roman" w:hAnsi="Times New Roman" w:cs="Times New Roman"/>
          <w:color w:val="000000"/>
        </w:rPr>
        <w:t xml:space="preserve">, Nikolaos </w:t>
      </w:r>
      <w:proofErr w:type="spellStart"/>
      <w:r>
        <w:rPr>
          <w:rFonts w:ascii="Times New Roman" w:eastAsia="Times New Roman" w:hAnsi="Times New Roman" w:cs="Times New Roman"/>
          <w:color w:val="000000"/>
        </w:rPr>
        <w:t>Trichakis</w:t>
      </w:r>
      <w:proofErr w:type="spellEnd"/>
      <w:r>
        <w:rPr>
          <w:rFonts w:ascii="Times New Roman" w:eastAsia="Times New Roman" w:hAnsi="Times New Roman" w:cs="Times New Roman"/>
          <w:color w:val="000000"/>
        </w:rPr>
        <w:t xml:space="preserve">, Dimitris Bertsimas (2022) Forecasting COVID-19 and Analyzing the Effect of Government Interventions. Operations Research 71(1):184-201. </w:t>
      </w:r>
      <w:hyperlink r:id="rId53" w:tooltip="https://doi.org/10.1287/opre.2022.2306" w:history="1">
        <w:r>
          <w:rPr>
            <w:rStyle w:val="Hyperlink"/>
            <w:rFonts w:ascii="Times New Roman" w:eastAsia="Times New Roman" w:hAnsi="Times New Roman" w:cs="Times New Roman"/>
            <w:color w:val="0563C1"/>
          </w:rPr>
          <w:t>https://doi.org/10.1287/opre.2022.2306</w:t>
        </w:r>
      </w:hyperlink>
    </w:p>
    <w:p w:rsidR="008A6B28" w:rsidRDefault="00DF2F8E">
      <w:pPr>
        <w:pBdr>
          <w:top w:val="none" w:sz="4" w:space="0" w:color="000000"/>
          <w:left w:val="none" w:sz="4" w:space="0" w:color="000000"/>
          <w:bottom w:val="none" w:sz="4" w:space="0" w:color="000000"/>
          <w:right w:val="none" w:sz="4" w:space="0" w:color="000000"/>
        </w:pBdr>
        <w:spacing w:line="235" w:lineRule="atLeast"/>
        <w:jc w:val="both"/>
      </w:pPr>
      <w:proofErr w:type="spellStart"/>
      <w:r>
        <w:rPr>
          <w:rFonts w:ascii="Times New Roman" w:eastAsia="Times New Roman" w:hAnsi="Times New Roman" w:cs="Times New Roman"/>
          <w:color w:val="000000"/>
        </w:rPr>
        <w:t>Mozaffer</w:t>
      </w:r>
      <w:proofErr w:type="spellEnd"/>
      <w:r>
        <w:rPr>
          <w:rFonts w:ascii="Times New Roman" w:eastAsia="Times New Roman" w:hAnsi="Times New Roman" w:cs="Times New Roman"/>
          <w:color w:val="000000"/>
        </w:rPr>
        <w:t xml:space="preserve">, F., Cherian, P., Krishna, S., Wahl, B., Menon, G.  2023. EFFECT OF HYBRID IMMUNITY, SCHOOL REOPENING, AND THE OMICRON VARIANT ON TRAJECTORY OF COVID-19 EPIDEMIC IN INDIA: A MODELLING STUDY, International Journal of Infectious Diseases. </w:t>
      </w:r>
      <w:hyperlink r:id="rId54" w:tooltip="https://doi.org/10.1016/j.ijid.2023.04.062" w:history="1">
        <w:r>
          <w:rPr>
            <w:rStyle w:val="Hyperlink"/>
            <w:rFonts w:ascii="Times New Roman" w:eastAsia="Times New Roman" w:hAnsi="Times New Roman" w:cs="Times New Roman"/>
            <w:color w:val="0563C1"/>
          </w:rPr>
          <w:t>https://doi.org/10.1016/j.ijid.2023.04.062</w:t>
        </w:r>
      </w:hyperlink>
    </w:p>
    <w:p w:rsidR="008A6B28" w:rsidRDefault="00DF2F8E">
      <w:pPr>
        <w:pBdr>
          <w:top w:val="none" w:sz="4" w:space="0" w:color="000000"/>
          <w:left w:val="none" w:sz="4" w:space="0" w:color="000000"/>
          <w:bottom w:val="none" w:sz="4" w:space="0" w:color="000000"/>
          <w:right w:val="none" w:sz="4" w:space="0" w:color="000000"/>
        </w:pBdr>
        <w:spacing w:line="235" w:lineRule="atLeast"/>
        <w:jc w:val="both"/>
      </w:pPr>
      <w:r>
        <w:rPr>
          <w:rFonts w:ascii="Times New Roman" w:eastAsia="Times New Roman" w:hAnsi="Times New Roman" w:cs="Times New Roman"/>
          <w:color w:val="000000"/>
        </w:rPr>
        <w:t xml:space="preserve">Nguyen, M.H., Nguyen, T.H.T., </w:t>
      </w:r>
      <w:proofErr w:type="spellStart"/>
      <w:r>
        <w:rPr>
          <w:rFonts w:ascii="Times New Roman" w:eastAsia="Times New Roman" w:hAnsi="Times New Roman" w:cs="Times New Roman"/>
          <w:color w:val="000000"/>
        </w:rPr>
        <w:t>Molenberghs</w:t>
      </w:r>
      <w:proofErr w:type="spellEnd"/>
      <w:r>
        <w:rPr>
          <w:rFonts w:ascii="Times New Roman" w:eastAsia="Times New Roman" w:hAnsi="Times New Roman" w:cs="Times New Roman"/>
          <w:color w:val="000000"/>
        </w:rPr>
        <w:t xml:space="preserve">, G. et al. The impact of national and international travel on </w:t>
      </w:r>
      <w:proofErr w:type="spellStart"/>
      <w:r>
        <w:rPr>
          <w:rFonts w:ascii="Times New Roman" w:eastAsia="Times New Roman" w:hAnsi="Times New Roman" w:cs="Times New Roman"/>
          <w:color w:val="000000"/>
        </w:rPr>
        <w:t>spatio</w:t>
      </w:r>
      <w:proofErr w:type="spellEnd"/>
      <w:r>
        <w:rPr>
          <w:rFonts w:ascii="Times New Roman" w:eastAsia="Times New Roman" w:hAnsi="Times New Roman" w:cs="Times New Roman"/>
          <w:color w:val="000000"/>
        </w:rPr>
        <w:t xml:space="preserve">-temporal transmission of SARS-CoV-2 in Belgium in 2021. BMC Infect Dis 23, 428 (2023). </w:t>
      </w:r>
      <w:hyperlink r:id="rId55" w:tooltip="https://doi.org/10.1186/s12879-023-08368-9" w:history="1">
        <w:r>
          <w:rPr>
            <w:rStyle w:val="Hyperlink"/>
            <w:rFonts w:ascii="Times New Roman" w:eastAsia="Times New Roman" w:hAnsi="Times New Roman" w:cs="Times New Roman"/>
            <w:color w:val="0563C1"/>
          </w:rPr>
          <w:t>https://doi.org/10.1186/s12879-023-08368-9</w:t>
        </w:r>
      </w:hyperlink>
    </w:p>
    <w:p w:rsidR="008A6B28" w:rsidRDefault="00DF2F8E">
      <w:pPr>
        <w:pBdr>
          <w:top w:val="none" w:sz="4" w:space="0" w:color="000000"/>
          <w:left w:val="none" w:sz="4" w:space="0" w:color="000000"/>
          <w:bottom w:val="none" w:sz="4" w:space="0" w:color="000000"/>
          <w:right w:val="none" w:sz="4" w:space="0" w:color="000000"/>
        </w:pBdr>
        <w:spacing w:line="235" w:lineRule="atLeast"/>
        <w:jc w:val="both"/>
      </w:pPr>
      <w:proofErr w:type="spellStart"/>
      <w:r>
        <w:rPr>
          <w:rFonts w:ascii="Times New Roman" w:eastAsia="Times New Roman" w:hAnsi="Times New Roman" w:cs="Times New Roman"/>
          <w:color w:val="000000"/>
        </w:rPr>
        <w:t>Pozo</w:t>
      </w:r>
      <w:proofErr w:type="spellEnd"/>
      <w:r>
        <w:rPr>
          <w:rFonts w:ascii="Times New Roman" w:eastAsia="Times New Roman" w:hAnsi="Times New Roman" w:cs="Times New Roman"/>
          <w:color w:val="000000"/>
        </w:rPr>
        <w:t xml:space="preserve">-Martin, F., Beltran Sanchez, M.A., Müller, S.A. et al. Comparative effectiveness of contact tracing interventions in the context of the COVID-19 pandemic: a systematic review. </w:t>
      </w:r>
      <w:proofErr w:type="spellStart"/>
      <w:r>
        <w:rPr>
          <w:rFonts w:ascii="Times New Roman" w:eastAsia="Times New Roman" w:hAnsi="Times New Roman" w:cs="Times New Roman"/>
          <w:color w:val="000000"/>
        </w:rPr>
        <w:t>Eur</w:t>
      </w:r>
      <w:proofErr w:type="spellEnd"/>
      <w:r>
        <w:rPr>
          <w:rFonts w:ascii="Times New Roman" w:eastAsia="Times New Roman" w:hAnsi="Times New Roman" w:cs="Times New Roman"/>
          <w:color w:val="000000"/>
        </w:rPr>
        <w:t xml:space="preserve"> J </w:t>
      </w:r>
      <w:proofErr w:type="spellStart"/>
      <w:r>
        <w:rPr>
          <w:rFonts w:ascii="Times New Roman" w:eastAsia="Times New Roman" w:hAnsi="Times New Roman" w:cs="Times New Roman"/>
          <w:color w:val="000000"/>
        </w:rPr>
        <w:t>Epidemiol</w:t>
      </w:r>
      <w:proofErr w:type="spellEnd"/>
      <w:r>
        <w:rPr>
          <w:rFonts w:ascii="Times New Roman" w:eastAsia="Times New Roman" w:hAnsi="Times New Roman" w:cs="Times New Roman"/>
          <w:color w:val="000000"/>
        </w:rPr>
        <w:t xml:space="preserve"> 38, 243–266 (2023). </w:t>
      </w:r>
      <w:hyperlink r:id="rId56" w:tooltip="https://doi.org/10.1007/s10654-023-00963-z" w:history="1">
        <w:r>
          <w:rPr>
            <w:rStyle w:val="Hyperlink"/>
            <w:rFonts w:ascii="Times New Roman" w:eastAsia="Times New Roman" w:hAnsi="Times New Roman" w:cs="Times New Roman"/>
            <w:color w:val="0563C1"/>
          </w:rPr>
          <w:t>https://doi.org/10.1007/s10654-023-00963-z</w:t>
        </w:r>
      </w:hyperlink>
    </w:p>
    <w:p w:rsidR="008A6B28" w:rsidRDefault="00DF2F8E">
      <w:pPr>
        <w:pBdr>
          <w:top w:val="none" w:sz="4" w:space="0" w:color="000000"/>
          <w:left w:val="none" w:sz="4" w:space="0" w:color="000000"/>
          <w:bottom w:val="none" w:sz="4" w:space="0" w:color="000000"/>
          <w:right w:val="none" w:sz="4" w:space="0" w:color="000000"/>
        </w:pBdr>
        <w:spacing w:line="235" w:lineRule="atLeast"/>
        <w:jc w:val="both"/>
      </w:pPr>
      <w:proofErr w:type="spellStart"/>
      <w:r>
        <w:rPr>
          <w:rFonts w:ascii="Times New Roman" w:eastAsia="Times New Roman" w:hAnsi="Times New Roman" w:cs="Times New Roman"/>
          <w:color w:val="000000"/>
        </w:rPr>
        <w:t>Pung</w:t>
      </w:r>
      <w:proofErr w:type="spellEnd"/>
      <w:r>
        <w:rPr>
          <w:rFonts w:ascii="Times New Roman" w:eastAsia="Times New Roman" w:hAnsi="Times New Roman" w:cs="Times New Roman"/>
          <w:color w:val="000000"/>
        </w:rPr>
        <w:t xml:space="preserve">, R., </w:t>
      </w:r>
      <w:proofErr w:type="spellStart"/>
      <w:r>
        <w:rPr>
          <w:rFonts w:ascii="Times New Roman" w:eastAsia="Times New Roman" w:hAnsi="Times New Roman" w:cs="Times New Roman"/>
          <w:color w:val="000000"/>
        </w:rPr>
        <w:t>Clapham</w:t>
      </w:r>
      <w:proofErr w:type="spellEnd"/>
      <w:r>
        <w:rPr>
          <w:rFonts w:ascii="Times New Roman" w:eastAsia="Times New Roman" w:hAnsi="Times New Roman" w:cs="Times New Roman"/>
          <w:color w:val="000000"/>
        </w:rPr>
        <w:t>, H.E., Russell, T.W. et al. Relative role of border restrictions, case finding and contact tracing in controlling SARS-CoV-2 in the presence of undetected transmission: a mathematical modelling study. BMC Med 21, 97 (2023).</w:t>
      </w:r>
      <w:hyperlink r:id="rId57" w:tooltip="https://doi.org/10.1186/s12916-023-02802-0" w:history="1">
        <w:r>
          <w:rPr>
            <w:rStyle w:val="Hyperlink"/>
            <w:rFonts w:ascii="Times New Roman" w:eastAsia="Times New Roman" w:hAnsi="Times New Roman" w:cs="Times New Roman"/>
            <w:color w:val="0563C1"/>
          </w:rPr>
          <w:t>https://doi.org/10.1186/s12916-023-02802-0</w:t>
        </w:r>
      </w:hyperlink>
    </w:p>
    <w:p w:rsidR="008A6B28" w:rsidRDefault="00DF2F8E">
      <w:pPr>
        <w:pBdr>
          <w:top w:val="none" w:sz="4" w:space="0" w:color="000000"/>
          <w:left w:val="none" w:sz="4" w:space="0" w:color="000000"/>
          <w:bottom w:val="none" w:sz="4" w:space="0" w:color="000000"/>
          <w:right w:val="none" w:sz="4" w:space="0" w:color="000000"/>
        </w:pBdr>
        <w:jc w:val="both"/>
        <w:rPr>
          <w:rStyle w:val="Hyperlink"/>
          <w:rFonts w:ascii="Times New Roman" w:eastAsia="Times New Roman" w:hAnsi="Times New Roman" w:cs="Times New Roman"/>
          <w:color w:val="0563C1"/>
        </w:rPr>
      </w:pPr>
      <w:r>
        <w:rPr>
          <w:rFonts w:ascii="Times New Roman" w:eastAsia="Times New Roman" w:hAnsi="Times New Roman" w:cs="Times New Roman"/>
          <w:color w:val="000000"/>
        </w:rPr>
        <w:t xml:space="preserve">Stokes, J., Turner, A.J., </w:t>
      </w:r>
      <w:proofErr w:type="spellStart"/>
      <w:r>
        <w:rPr>
          <w:rFonts w:ascii="Times New Roman" w:eastAsia="Times New Roman" w:hAnsi="Times New Roman" w:cs="Times New Roman"/>
          <w:color w:val="000000"/>
        </w:rPr>
        <w:t>Anselmi</w:t>
      </w:r>
      <w:proofErr w:type="spellEnd"/>
      <w:r>
        <w:rPr>
          <w:rFonts w:ascii="Times New Roman" w:eastAsia="Times New Roman" w:hAnsi="Times New Roman" w:cs="Times New Roman"/>
          <w:color w:val="000000"/>
        </w:rPr>
        <w:t xml:space="preserve">, L. </w:t>
      </w:r>
      <w:r>
        <w:rPr>
          <w:rFonts w:ascii="Times New Roman" w:eastAsia="Times New Roman" w:hAnsi="Times New Roman" w:cs="Times New Roman"/>
          <w:i/>
          <w:color w:val="000000"/>
        </w:rPr>
        <w:t>et al.</w:t>
      </w:r>
      <w:r>
        <w:rPr>
          <w:rFonts w:ascii="Times New Roman" w:eastAsia="Times New Roman" w:hAnsi="Times New Roman" w:cs="Times New Roman"/>
          <w:color w:val="000000"/>
        </w:rPr>
        <w:t xml:space="preserve"> The relative effects of non-pharmaceutical interventions on wave one Covid-19 mortality: natural experiment in 130 countries. </w:t>
      </w:r>
      <w:r>
        <w:rPr>
          <w:rFonts w:ascii="Times New Roman" w:eastAsia="Times New Roman" w:hAnsi="Times New Roman" w:cs="Times New Roman"/>
          <w:i/>
          <w:color w:val="000000"/>
        </w:rPr>
        <w:t>BMC Public Health</w:t>
      </w:r>
      <w:r>
        <w:rPr>
          <w:rFonts w:ascii="Times New Roman" w:eastAsia="Times New Roman" w:hAnsi="Times New Roman" w:cs="Times New Roman"/>
          <w:b/>
          <w:color w:val="000000"/>
        </w:rPr>
        <w:t>22</w:t>
      </w:r>
      <w:r>
        <w:rPr>
          <w:rFonts w:ascii="Times New Roman" w:eastAsia="Times New Roman" w:hAnsi="Times New Roman" w:cs="Times New Roman"/>
          <w:color w:val="000000"/>
        </w:rPr>
        <w:t xml:space="preserve">, 1113 (2022). </w:t>
      </w:r>
      <w:hyperlink r:id="rId58" w:tooltip="https://doi.org/10.1186/s12889-022-13546-6" w:history="1">
        <w:r>
          <w:rPr>
            <w:rStyle w:val="Hyperlink"/>
            <w:rFonts w:ascii="Times New Roman" w:eastAsia="Times New Roman" w:hAnsi="Times New Roman" w:cs="Times New Roman"/>
            <w:color w:val="0563C1"/>
          </w:rPr>
          <w:t>https://doi.org/10.1186/s12889-022-13546-6</w:t>
        </w:r>
      </w:hyperlink>
    </w:p>
    <w:p w:rsidR="008A6B28" w:rsidRDefault="00DF2F8E">
      <w:pPr>
        <w:pBdr>
          <w:top w:val="none" w:sz="4" w:space="0" w:color="000000"/>
          <w:left w:val="none" w:sz="4" w:space="0" w:color="000000"/>
          <w:bottom w:val="none" w:sz="4" w:space="0" w:color="000000"/>
          <w:right w:val="none" w:sz="4" w:space="0" w:color="000000"/>
        </w:pBdr>
        <w:jc w:val="both"/>
        <w:rPr>
          <w:rFonts w:ascii="Times New Roman" w:hAnsi="Times New Roman" w:cs="Times New Roman"/>
        </w:rPr>
      </w:pPr>
      <w:proofErr w:type="spellStart"/>
      <w:r>
        <w:rPr>
          <w:rFonts w:ascii="Times New Roman" w:eastAsia="Times New Roman" w:hAnsi="Times New Roman" w:cs="Times New Roman"/>
          <w:color w:val="000000"/>
        </w:rPr>
        <w:t>Salvatier</w:t>
      </w:r>
      <w:proofErr w:type="spellEnd"/>
      <w:r>
        <w:rPr>
          <w:rFonts w:ascii="Times New Roman" w:eastAsia="Times New Roman" w:hAnsi="Times New Roman" w:cs="Times New Roman"/>
          <w:color w:val="000000"/>
        </w:rPr>
        <w:t xml:space="preserve"> J., </w:t>
      </w:r>
      <w:proofErr w:type="spellStart"/>
      <w:r>
        <w:rPr>
          <w:rFonts w:ascii="Times New Roman" w:eastAsia="Times New Roman" w:hAnsi="Times New Roman" w:cs="Times New Roman"/>
          <w:color w:val="000000"/>
        </w:rPr>
        <w:t>Wiecki</w:t>
      </w:r>
      <w:proofErr w:type="spellEnd"/>
      <w:r>
        <w:rPr>
          <w:rFonts w:ascii="Times New Roman" w:eastAsia="Times New Roman" w:hAnsi="Times New Roman" w:cs="Times New Roman"/>
          <w:color w:val="000000"/>
        </w:rPr>
        <w:t xml:space="preserve"> T., </w:t>
      </w:r>
      <w:proofErr w:type="spellStart"/>
      <w:r>
        <w:rPr>
          <w:rFonts w:ascii="Times New Roman" w:eastAsia="Times New Roman" w:hAnsi="Times New Roman" w:cs="Times New Roman"/>
          <w:color w:val="000000"/>
        </w:rPr>
        <w:t>Fonnesbeck</w:t>
      </w:r>
      <w:proofErr w:type="spellEnd"/>
      <w:r>
        <w:rPr>
          <w:rFonts w:ascii="Times New Roman" w:eastAsia="Times New Roman" w:hAnsi="Times New Roman" w:cs="Times New Roman"/>
          <w:color w:val="000000"/>
        </w:rPr>
        <w:t xml:space="preserve"> C. Probabilistic programming in Python using pymc3. </w:t>
      </w:r>
      <w:proofErr w:type="spellStart"/>
      <w:r>
        <w:rPr>
          <w:rFonts w:ascii="Times New Roman" w:eastAsia="Times New Roman" w:hAnsi="Times New Roman" w:cs="Times New Roman"/>
          <w:color w:val="000000"/>
        </w:rPr>
        <w:t>PeerJ</w:t>
      </w:r>
      <w:proofErr w:type="spellEnd"/>
      <w:r>
        <w:rPr>
          <w:rFonts w:ascii="Times New Roman" w:eastAsia="Times New Roman" w:hAnsi="Times New Roman" w:cs="Times New Roman"/>
          <w:color w:val="000000"/>
        </w:rPr>
        <w:t xml:space="preserve"> </w:t>
      </w:r>
      <w:proofErr w:type="spellStart"/>
      <w:r>
        <w:rPr>
          <w:rFonts w:ascii="Times New Roman" w:eastAsia="Times New Roman" w:hAnsi="Times New Roman" w:cs="Times New Roman"/>
          <w:color w:val="000000"/>
        </w:rPr>
        <w:t>Comput</w:t>
      </w:r>
      <w:proofErr w:type="spellEnd"/>
      <w:r>
        <w:rPr>
          <w:rFonts w:ascii="Times New Roman" w:eastAsia="Times New Roman" w:hAnsi="Times New Roman" w:cs="Times New Roman"/>
          <w:color w:val="000000"/>
        </w:rPr>
        <w:t>. Sci., 2 (2016), Article e55</w:t>
      </w:r>
    </w:p>
    <w:p w:rsidR="008A6B28" w:rsidRDefault="00DF2F8E">
      <w:pPr>
        <w:pBdr>
          <w:top w:val="none" w:sz="4" w:space="0" w:color="000000"/>
          <w:left w:val="none" w:sz="4" w:space="0" w:color="000000"/>
          <w:bottom w:val="none" w:sz="4" w:space="0" w:color="000000"/>
          <w:right w:val="none" w:sz="4" w:space="0" w:color="000000"/>
        </w:pBdr>
        <w:jc w:val="both"/>
        <w:rPr>
          <w:rFonts w:ascii="Times New Roman" w:eastAsia="Times New Roman" w:hAnsi="Times New Roman" w:cs="Times New Roman"/>
          <w:color w:val="000000"/>
        </w:rPr>
      </w:pPr>
      <w:r>
        <w:rPr>
          <w:rFonts w:ascii="Times New Roman" w:eastAsia="Times New Roman" w:hAnsi="Times New Roman" w:cs="Times New Roman"/>
          <w:color w:val="000000"/>
        </w:rPr>
        <w:t xml:space="preserve">Stephen P. Brooks &amp; Andrew </w:t>
      </w:r>
      <w:proofErr w:type="spellStart"/>
      <w:r>
        <w:rPr>
          <w:rFonts w:ascii="Times New Roman" w:eastAsia="Times New Roman" w:hAnsi="Times New Roman" w:cs="Times New Roman"/>
          <w:color w:val="000000"/>
        </w:rPr>
        <w:t>Gelman</w:t>
      </w:r>
      <w:proofErr w:type="spellEnd"/>
      <w:r>
        <w:rPr>
          <w:rFonts w:ascii="Times New Roman" w:eastAsia="Times New Roman" w:hAnsi="Times New Roman" w:cs="Times New Roman"/>
          <w:color w:val="000000"/>
        </w:rPr>
        <w:t xml:space="preserve"> (1998) General Methods for Monitoring Convergence of Iterative Simulations, Journal of Computational and Graphical Statistics, 7:4, 434-455, DOI: 10.1080/10618600.1998.10474787</w:t>
      </w:r>
    </w:p>
    <w:p w:rsidR="00FC1904" w:rsidRDefault="00FC1904" w:rsidP="003E0447">
      <w:pPr>
        <w:pBdr>
          <w:top w:val="none" w:sz="4" w:space="0" w:color="000000"/>
          <w:left w:val="none" w:sz="4" w:space="0" w:color="000000"/>
          <w:bottom w:val="none" w:sz="4" w:space="0" w:color="000000"/>
          <w:right w:val="none" w:sz="4" w:space="0" w:color="000000"/>
        </w:pBdr>
        <w:spacing w:line="240" w:lineRule="auto"/>
        <w:jc w:val="both"/>
        <w:rPr>
          <w:rFonts w:ascii="Times New Roman" w:hAnsi="Times New Roman" w:cs="Times New Roman"/>
        </w:rPr>
      </w:pPr>
      <w:proofErr w:type="spellStart"/>
      <w:r w:rsidRPr="00F606F7">
        <w:rPr>
          <w:rFonts w:ascii="Times New Roman" w:hAnsi="Times New Roman" w:cs="Times New Roman"/>
        </w:rPr>
        <w:t>Wiemken</w:t>
      </w:r>
      <w:proofErr w:type="spellEnd"/>
      <w:r w:rsidRPr="00F606F7">
        <w:rPr>
          <w:rFonts w:ascii="Times New Roman" w:hAnsi="Times New Roman" w:cs="Times New Roman"/>
        </w:rPr>
        <w:t xml:space="preserve">, T.L., Khan, F., </w:t>
      </w:r>
      <w:proofErr w:type="spellStart"/>
      <w:r w:rsidRPr="00F606F7">
        <w:rPr>
          <w:rFonts w:ascii="Times New Roman" w:hAnsi="Times New Roman" w:cs="Times New Roman"/>
        </w:rPr>
        <w:t>Puzniak</w:t>
      </w:r>
      <w:proofErr w:type="spellEnd"/>
      <w:r w:rsidRPr="00F606F7">
        <w:rPr>
          <w:rFonts w:ascii="Times New Roman" w:hAnsi="Times New Roman" w:cs="Times New Roman"/>
        </w:rPr>
        <w:t xml:space="preserve">, L. et al. Seasonal trends in COVID-19 cases, hospitalizations, and mortality in the United States and Europe. </w:t>
      </w:r>
      <w:proofErr w:type="spellStart"/>
      <w:r w:rsidRPr="00F606F7">
        <w:rPr>
          <w:rFonts w:ascii="Times New Roman" w:hAnsi="Times New Roman" w:cs="Times New Roman"/>
        </w:rPr>
        <w:t>Sci</w:t>
      </w:r>
      <w:proofErr w:type="spellEnd"/>
      <w:r w:rsidRPr="00F606F7">
        <w:rPr>
          <w:rFonts w:ascii="Times New Roman" w:hAnsi="Times New Roman" w:cs="Times New Roman"/>
        </w:rPr>
        <w:t xml:space="preserve"> Rep 13, 3886 (2023). </w:t>
      </w:r>
      <w:hyperlink r:id="rId59" w:tooltip="https://doi.org/10.1038/s41598-023-31057-1" w:history="1">
        <w:r w:rsidRPr="00F606F7">
          <w:rPr>
            <w:rStyle w:val="Hyperlink"/>
            <w:rFonts w:ascii="Times New Roman" w:hAnsi="Times New Roman" w:cs="Times New Roman"/>
            <w:color w:val="auto"/>
          </w:rPr>
          <w:t>https://doi.org/10.1038/s41598-023-31057-1</w:t>
        </w:r>
      </w:hyperlink>
      <w:bookmarkStart w:id="0" w:name="_GoBack"/>
      <w:bookmarkEnd w:id="0"/>
    </w:p>
    <w:p w:rsidR="008A6B28" w:rsidRDefault="008A6B28">
      <w:pPr>
        <w:rPr>
          <w:rFonts w:ascii="Times New Roman" w:hAnsi="Times New Roman" w:cs="Times New Roman"/>
        </w:rPr>
      </w:pPr>
    </w:p>
    <w:sectPr w:rsidR="008A6B28">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3054D9" w:rsidRDefault="003054D9">
      <w:pPr>
        <w:spacing w:after="0" w:line="240" w:lineRule="auto"/>
      </w:pPr>
      <w:r>
        <w:separator/>
      </w:r>
    </w:p>
  </w:endnote>
  <w:endnote w:type="continuationSeparator" w:id="0">
    <w:p w:rsidR="003054D9" w:rsidRDefault="003054D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3054D9" w:rsidRDefault="003054D9">
      <w:pPr>
        <w:spacing w:after="0" w:line="240" w:lineRule="auto"/>
      </w:pPr>
      <w:r>
        <w:separator/>
      </w:r>
    </w:p>
  </w:footnote>
  <w:footnote w:type="continuationSeparator" w:id="0">
    <w:p w:rsidR="003054D9" w:rsidRDefault="003054D9">
      <w:pPr>
        <w:spacing w:after="0" w:line="240" w:lineRule="auto"/>
      </w:pPr>
      <w:r>
        <w:continuationSeparator/>
      </w:r>
    </w:p>
  </w:footnote>
  <w:footnote w:id="1">
    <w:p w:rsidR="00681696" w:rsidRDefault="00681696">
      <w:pPr>
        <w:pStyle w:val="FootnoteText"/>
        <w:jc w:val="both"/>
        <w:rPr>
          <w:rFonts w:ascii="Times New Roman" w:hAnsi="Times New Roman" w:cs="Times New Roman"/>
        </w:rPr>
      </w:pPr>
      <w:r>
        <w:rPr>
          <w:rStyle w:val="FootnoteReference"/>
          <w:rFonts w:ascii="Times New Roman" w:hAnsi="Times New Roman" w:cs="Times New Roman"/>
        </w:rPr>
        <w:footnoteRef/>
      </w:r>
      <w:r>
        <w:rPr>
          <w:rFonts w:ascii="Times New Roman" w:hAnsi="Times New Roman" w:cs="Times New Roman"/>
        </w:rPr>
        <w:t xml:space="preserve"> The calculation of the point estimate of reproduction number </w:t>
      </w:r>
      <m:oMath>
        <m:sSub>
          <m:sSubPr>
            <m:ctrlPr>
              <w:rPr>
                <w:rFonts w:ascii="Cambria Math" w:hAnsi="Cambria Math" w:cs="Times New Roman"/>
                <w:i/>
              </w:rPr>
            </m:ctrlPr>
          </m:sSubPr>
          <m:e>
            <m:r>
              <w:rPr>
                <w:rFonts w:ascii="Cambria Math" w:eastAsia="Cambria Math" w:hAnsi="Cambria Math" w:cs="Times New Roman"/>
              </w:rPr>
              <m:t>R</m:t>
            </m:r>
          </m:e>
          <m:sub>
            <m:r>
              <w:rPr>
                <w:rFonts w:ascii="Cambria Math" w:hAnsi="Cambria Math" w:cs="Times New Roman"/>
              </w:rPr>
              <m:t>i</m:t>
            </m:r>
          </m:sub>
        </m:sSub>
      </m:oMath>
      <w:r>
        <w:rPr>
          <w:rFonts w:ascii="Times New Roman" w:hAnsi="Times New Roman" w:cs="Times New Roman"/>
        </w:rPr>
        <w:t xml:space="preserve"> for a given day </w:t>
      </w:r>
      <w:proofErr w:type="spellStart"/>
      <w:r>
        <w:rPr>
          <w:rFonts w:ascii="Times New Roman" w:hAnsi="Times New Roman" w:cs="Times New Roman"/>
          <w:i/>
          <w:iCs/>
        </w:rPr>
        <w:t>i</w:t>
      </w:r>
      <w:proofErr w:type="spellEnd"/>
      <w:r>
        <w:rPr>
          <w:rFonts w:ascii="Times New Roman" w:hAnsi="Times New Roman" w:cs="Times New Roman"/>
        </w:rPr>
        <w:t xml:space="preserve"> is equal as the simple quotient of the number of new cases for that day divided by the number of new cases 7 days </w:t>
      </w:r>
      <w:r>
        <w:rPr>
          <w:rFonts w:ascii="Times New Roman" w:hAnsi="Times New Roman" w:cs="Times New Roman"/>
          <w:i/>
        </w:rPr>
        <w:t>before</w:t>
      </w:r>
      <w:r>
        <w:rPr>
          <w:rFonts w:ascii="Times New Roman" w:hAnsi="Times New Roman" w:cs="Times New Roman"/>
        </w:rPr>
        <w:t xml:space="preserve"> (</w:t>
      </w:r>
      <w:proofErr w:type="spellStart"/>
      <w:r>
        <w:fldChar w:fldCharType="begin"/>
      </w:r>
      <w:r>
        <w:instrText xml:space="preserve"> HYPERLINK "https://de.statista.com/" \o "https://de.statista.com/" </w:instrText>
      </w:r>
      <w:r>
        <w:fldChar w:fldCharType="separate"/>
      </w:r>
      <w:r>
        <w:rPr>
          <w:rStyle w:val="Hyperlink"/>
          <w:rFonts w:ascii="Times New Roman" w:hAnsi="Times New Roman" w:cs="Times New Roman"/>
        </w:rPr>
        <w:t>statista</w:t>
      </w:r>
      <w:proofErr w:type="spellEnd"/>
      <w:r>
        <w:rPr>
          <w:rStyle w:val="Hyperlink"/>
          <w:rFonts w:ascii="Times New Roman" w:hAnsi="Times New Roman" w:cs="Times New Roman"/>
        </w:rPr>
        <w:fldChar w:fldCharType="end"/>
      </w:r>
      <w:r>
        <w:rPr>
          <w:rFonts w:ascii="Times New Roman" w:hAnsi="Times New Roman" w:cs="Times New Roman"/>
        </w:rPr>
        <w:t xml:space="preserve">) . In our study however, we use the number of new cases </w:t>
      </w:r>
      <w:r>
        <w:rPr>
          <w:rFonts w:ascii="Times New Roman" w:hAnsi="Times New Roman" w:cs="Times New Roman"/>
          <w:i/>
          <w:iCs/>
        </w:rPr>
        <w:t>n</w:t>
      </w:r>
      <w:r>
        <w:rPr>
          <w:rFonts w:ascii="Times New Roman" w:hAnsi="Times New Roman" w:cs="Times New Roman"/>
        </w:rPr>
        <w:t xml:space="preserve"> days </w:t>
      </w:r>
      <w:r>
        <w:rPr>
          <w:rFonts w:ascii="Times New Roman" w:hAnsi="Times New Roman" w:cs="Times New Roman"/>
          <w:i/>
        </w:rPr>
        <w:t>after</w:t>
      </w:r>
      <w:r>
        <w:rPr>
          <w:rFonts w:ascii="Times New Roman" w:hAnsi="Times New Roman" w:cs="Times New Roman"/>
        </w:rPr>
        <w:t xml:space="preserve"> the day </w:t>
      </w:r>
      <w:proofErr w:type="spellStart"/>
      <w:r>
        <w:rPr>
          <w:rFonts w:ascii="Times New Roman" w:hAnsi="Times New Roman" w:cs="Times New Roman"/>
          <w:i/>
        </w:rPr>
        <w:t>i</w:t>
      </w:r>
      <w:proofErr w:type="spellEnd"/>
      <w:r>
        <w:rPr>
          <w:rFonts w:ascii="Times New Roman" w:hAnsi="Times New Roman" w:cs="Times New Roman"/>
        </w:rPr>
        <w:t xml:space="preserve"> as described in equation 3 to replace a forward looking sight instead of the conventional backward looking sight. Furthermore, we generalize the 7 days’ default to the arbitrary parameter </w:t>
      </w:r>
      <w:r>
        <w:rPr>
          <w:rFonts w:ascii="Times New Roman" w:hAnsi="Times New Roman" w:cs="Times New Roman"/>
          <w:i/>
          <w:iCs/>
        </w:rPr>
        <w:t>n</w:t>
      </w:r>
      <w:r>
        <w:rPr>
          <w:rFonts w:ascii="Times New Roman" w:hAnsi="Times New Roman" w:cs="Times New Roman"/>
        </w:rPr>
        <w:t>, which</w:t>
      </w:r>
      <w:r>
        <w:rPr>
          <w:rFonts w:ascii="Times New Roman" w:hAnsi="Times New Roman" w:cs="Times New Roman"/>
          <w:iCs/>
        </w:rPr>
        <w:t xml:space="preserve"> is set to 7, 14 and 21 in this paper</w:t>
      </w:r>
      <w:r>
        <w:rPr>
          <w:rFonts w:ascii="Times New Roman" w:hAnsi="Times New Roman" w:cs="Times New Roman"/>
        </w:rPr>
        <w:t xml:space="preserve">.  </w:t>
      </w:r>
    </w:p>
  </w:footnote>
  <w:footnote w:id="2">
    <w:p w:rsidR="00423BE4" w:rsidRDefault="00423BE4" w:rsidP="00423BE4">
      <w:pPr>
        <w:pStyle w:val="FootnoteText"/>
        <w:jc w:val="both"/>
        <w:rPr>
          <w:rFonts w:ascii="Times New Roman" w:hAnsi="Times New Roman" w:cs="Times New Roman"/>
        </w:rPr>
      </w:pPr>
      <w:r>
        <w:rPr>
          <w:rStyle w:val="FootnoteReference"/>
          <w:rFonts w:ascii="Times New Roman" w:hAnsi="Times New Roman" w:cs="Times New Roman"/>
        </w:rPr>
        <w:footnoteRef/>
      </w:r>
      <w:r>
        <w:rPr>
          <w:rFonts w:ascii="Times New Roman" w:hAnsi="Times New Roman" w:cs="Times New Roman"/>
        </w:rPr>
        <w:t xml:space="preserve"> https://www.ecdc.europa.eu/en</w:t>
      </w:r>
    </w:p>
  </w:footnote>
  <w:footnote w:id="3">
    <w:p w:rsidR="00681696" w:rsidRPr="006763DB" w:rsidRDefault="00681696" w:rsidP="006763DB">
      <w:pPr>
        <w:pStyle w:val="FootnoteText"/>
        <w:jc w:val="both"/>
        <w:rPr>
          <w:rFonts w:ascii="Times New Roman" w:hAnsi="Times New Roman" w:cs="Times New Roman"/>
        </w:rPr>
      </w:pPr>
      <w:r>
        <w:rPr>
          <w:rStyle w:val="FootnoteReference"/>
        </w:rPr>
        <w:footnoteRef/>
      </w:r>
      <w:r>
        <w:t xml:space="preserve"> </w:t>
      </w:r>
      <w:r>
        <w:rPr>
          <w:rFonts w:ascii="Times New Roman" w:hAnsi="Times New Roman" w:cs="Times New Roman"/>
        </w:rPr>
        <w:t xml:space="preserve">Thereby we decided to confine the time scope of the study regrading some countries to the dates mentioned in table 2 e.g. just until 2021 data, even though more data for a wider range were also available. The reason is that in the case of Hungary and Iceland, within the recent phases of the pandemic, only data on 1 or 2 days per week are non-zero </w:t>
      </w:r>
      <w:r w:rsidRPr="006763DB">
        <w:rPr>
          <w:rFonts w:ascii="Times New Roman" w:hAnsi="Times New Roman" w:cs="Times New Roman"/>
        </w:rPr>
        <w:t>numbers followed by numbers far away from zero, which might generate outlier ranges of reproduction rates of infections, corresponded to some NPIs. In the case of Liechtenstein, reported numbers of infections until October 2020 are multiple blocks of zero together with rare non zero numbers.</w:t>
      </w:r>
    </w:p>
  </w:footnote>
  <w:footnote w:id="4">
    <w:p w:rsidR="0022262B" w:rsidRDefault="0022262B" w:rsidP="0022262B">
      <w:pPr>
        <w:pStyle w:val="FootnoteText"/>
        <w:jc w:val="both"/>
        <w:rPr>
          <w:rFonts w:ascii="Times New Roman" w:hAnsi="Times New Roman" w:cs="Times New Roman"/>
        </w:rPr>
      </w:pPr>
      <w:r>
        <w:rPr>
          <w:rStyle w:val="FootnoteReference"/>
          <w:rFonts w:ascii="Times New Roman" w:hAnsi="Times New Roman" w:cs="Times New Roman"/>
        </w:rPr>
        <w:footnoteRef/>
      </w:r>
      <w:r>
        <w:rPr>
          <w:rFonts w:ascii="Times New Roman" w:hAnsi="Times New Roman" w:cs="Times New Roman"/>
        </w:rPr>
        <w:t xml:space="preserve"> Before incorporating the data regarding the number of new reported cases over all countries (containing 28729 rows), the data table of new cases is cleaned especially in two respects. First, in 1275 rows the reported zero daily cases of positive infections are modified by us to be 1. This is done in order to enable the program to compute the monthly reproduction rates without being troubled through a number divided by zero. Second, in 93 rows, the reported number of positive cases are missing (</w:t>
      </w:r>
      <w:proofErr w:type="spellStart"/>
      <w:r>
        <w:rPr>
          <w:rFonts w:ascii="Times New Roman" w:hAnsi="Times New Roman" w:cs="Times New Roman"/>
        </w:rPr>
        <w:t>NaN</w:t>
      </w:r>
      <w:proofErr w:type="spellEnd"/>
      <w:r>
        <w:rPr>
          <w:rFonts w:ascii="Times New Roman" w:hAnsi="Times New Roman" w:cs="Times New Roman"/>
        </w:rPr>
        <w:t>) values or negative values. We replaced the missing values by using the interpolate function in Python.</w:t>
      </w:r>
    </w:p>
  </w:footnote>
  <w:footnote w:id="5">
    <w:p w:rsidR="000D4730" w:rsidRDefault="000D4730" w:rsidP="000D4730">
      <w:pPr>
        <w:pStyle w:val="FootnoteText"/>
        <w:jc w:val="both"/>
        <w:rPr>
          <w:rFonts w:ascii="Times New Roman" w:hAnsi="Times New Roman" w:cs="Times New Roman"/>
        </w:rPr>
      </w:pPr>
      <w:r>
        <w:rPr>
          <w:rStyle w:val="FootnoteReference"/>
        </w:rPr>
        <w:footnoteRef/>
      </w:r>
      <w:r>
        <w:t xml:space="preserve"> </w:t>
      </w:r>
      <w:r>
        <w:rPr>
          <w:rFonts w:ascii="Times New Roman" w:hAnsi="Times New Roman" w:cs="Times New Roman"/>
        </w:rPr>
        <w:t xml:space="preserve">A detailed explanation of NPIs is presented in Lorenzo et. al. (2022). A variable dictionary related to the data on non-pharmaceutical interventions NPIs can be downloaded from the </w:t>
      </w:r>
      <w:hyperlink r:id="rId1" w:tooltip="https://www.ecdc.europa.eu/sites/default/files/documents/Variable_Dictionary_and_Disclaimer_non-pharmacautical_measures_v3.pdf" w:history="1">
        <w:proofErr w:type="spellStart"/>
        <w:r>
          <w:rPr>
            <w:rStyle w:val="Hyperlink"/>
            <w:rFonts w:ascii="Times New Roman" w:hAnsi="Times New Roman" w:cs="Times New Roman"/>
          </w:rPr>
          <w:t>ecdc</w:t>
        </w:r>
        <w:proofErr w:type="spellEnd"/>
      </w:hyperlink>
      <w:r>
        <w:rPr>
          <w:rFonts w:ascii="Times New Roman" w:hAnsi="Times New Roman" w:cs="Times New Roman"/>
        </w:rPr>
        <w:t xml:space="preserve"> website.</w:t>
      </w:r>
    </w:p>
    <w:p w:rsidR="000D4730" w:rsidRDefault="000D4730" w:rsidP="000D4730">
      <w:pPr>
        <w:pStyle w:val="FootnoteText"/>
        <w:jc w:val="both"/>
      </w:pPr>
    </w:p>
  </w:footnote>
  <w:footnote w:id="6">
    <w:p w:rsidR="00384DAA" w:rsidRDefault="00384DAA" w:rsidP="00D55520">
      <w:pPr>
        <w:pStyle w:val="FootnoteText"/>
        <w:jc w:val="both"/>
      </w:pPr>
      <w:r>
        <w:rPr>
          <w:rStyle w:val="FootnoteReference"/>
        </w:rPr>
        <w:footnoteRef/>
      </w:r>
      <w:r>
        <w:t xml:space="preserve"> </w:t>
      </w:r>
      <w:r>
        <w:rPr>
          <w:rFonts w:ascii="Times New Roman" w:hAnsi="Times New Roman" w:cs="Times New Roman"/>
        </w:rPr>
        <w:t xml:space="preserve">Note that a parameter named </w:t>
      </w:r>
      <w:proofErr w:type="spellStart"/>
      <w:r>
        <w:rPr>
          <w:rFonts w:ascii="Times New Roman" w:hAnsi="Times New Roman" w:cs="Times New Roman"/>
        </w:rPr>
        <w:t>Not_sequenced</w:t>
      </w:r>
      <w:proofErr w:type="spellEnd"/>
      <w:r>
        <w:rPr>
          <w:rFonts w:ascii="Times New Roman" w:hAnsi="Times New Roman" w:cs="Times New Roman"/>
        </w:rPr>
        <w:t xml:space="preserve"> is applied to those days where no information regarding the proportion of various virus mutants in a country were available</w:t>
      </w:r>
      <w:r w:rsidR="00D55520">
        <w:rPr>
          <w:rFonts w:ascii="Times New Roman" w:hAnsi="Times New Roman" w:cs="Times New Roman"/>
        </w:rPr>
        <w:t xml:space="preserve">. Ina addition, </w:t>
      </w:r>
      <w:r w:rsidR="00D55520">
        <w:rPr>
          <w:rFonts w:ascii="Times New Roman" w:hAnsi="Times New Roman" w:cs="Times New Roman"/>
        </w:rPr>
        <w:t xml:space="preserve">there exists a </w:t>
      </w:r>
      <w:r w:rsidR="00D55520">
        <w:rPr>
          <w:rFonts w:ascii="Times New Roman" w:hAnsi="Times New Roman" w:cs="Times New Roman"/>
        </w:rPr>
        <w:t>virus variant</w:t>
      </w:r>
      <w:r w:rsidR="00D55520">
        <w:rPr>
          <w:rFonts w:ascii="Times New Roman" w:hAnsi="Times New Roman" w:cs="Times New Roman"/>
        </w:rPr>
        <w:t xml:space="preserve"> named ‘Others’</w:t>
      </w:r>
      <w:r w:rsidR="00D55520">
        <w:rPr>
          <w:rFonts w:ascii="Times New Roman" w:hAnsi="Times New Roman" w:cs="Times New Roman"/>
        </w:rPr>
        <w:t xml:space="preserve"> in the list of virus variants,</w:t>
      </w:r>
      <w:r w:rsidR="00D55520">
        <w:rPr>
          <w:rFonts w:ascii="Times New Roman" w:hAnsi="Times New Roman" w:cs="Times New Roman"/>
        </w:rPr>
        <w:t xml:space="preserve"> which </w:t>
      </w:r>
      <w:r w:rsidR="00D55520">
        <w:rPr>
          <w:rFonts w:ascii="Times New Roman" w:hAnsi="Times New Roman" w:cs="Times New Roman"/>
        </w:rPr>
        <w:t xml:space="preserve">represents a collection of </w:t>
      </w:r>
      <w:r w:rsidR="00D55520">
        <w:rPr>
          <w:rFonts w:ascii="Times New Roman" w:hAnsi="Times New Roman" w:cs="Times New Roman"/>
        </w:rPr>
        <w:t>other not labeled virus variants in the data</w:t>
      </w:r>
      <w:r w:rsidR="00D55520">
        <w:rPr>
          <w:rFonts w:ascii="Times New Roman" w:hAnsi="Times New Roman" w:cs="Times New Roman"/>
        </w:rPr>
        <w:t>. But these 2 types are not included in our study.</w:t>
      </w:r>
    </w:p>
  </w:footnote>
  <w:footnote w:id="7">
    <w:p w:rsidR="00681696" w:rsidRDefault="00681696" w:rsidP="00D42DF8">
      <w:pPr>
        <w:pStyle w:val="FootnoteText"/>
        <w:jc w:val="both"/>
        <w:rPr>
          <w:rFonts w:ascii="Times New Roman" w:hAnsi="Times New Roman" w:cs="Times New Roman"/>
        </w:rPr>
      </w:pPr>
      <w:r>
        <w:rPr>
          <w:rStyle w:val="FootnoteReference"/>
          <w:rFonts w:ascii="Times New Roman" w:hAnsi="Times New Roman" w:cs="Times New Roman"/>
        </w:rPr>
        <w:footnoteRef/>
      </w:r>
      <w:r>
        <w:rPr>
          <w:rFonts w:ascii="Times New Roman" w:hAnsi="Times New Roman" w:cs="Times New Roman"/>
        </w:rPr>
        <w:t xml:space="preserve"> We use the </w:t>
      </w:r>
      <w:hyperlink r:id="rId2" w:tooltip="https://github.com/cokelaer/fitter" w:history="1">
        <w:r>
          <w:rPr>
            <w:rStyle w:val="Hyperlink"/>
            <w:rFonts w:ascii="Times New Roman" w:hAnsi="Times New Roman" w:cs="Times New Roman"/>
          </w:rPr>
          <w:t>fitter</w:t>
        </w:r>
      </w:hyperlink>
      <w:r>
        <w:rPr>
          <w:rFonts w:ascii="Times New Roman" w:hAnsi="Times New Roman" w:cs="Times New Roman"/>
        </w:rPr>
        <w:t xml:space="preserve"> package in python to explore aggregate and individual data across the studied countries.</w:t>
      </w:r>
    </w:p>
  </w:footnote>
  <w:footnote w:id="8">
    <w:p w:rsidR="00681696" w:rsidRDefault="00681696">
      <w:pPr>
        <w:pStyle w:val="FootnoteText"/>
        <w:jc w:val="both"/>
        <w:rPr>
          <w:rFonts w:ascii="Times New Roman" w:hAnsi="Times New Roman" w:cs="Times New Roman"/>
        </w:rPr>
      </w:pPr>
      <w:r>
        <w:rPr>
          <w:rStyle w:val="FootnoteReference"/>
          <w:rFonts w:ascii="Times New Roman" w:hAnsi="Times New Roman" w:cs="Times New Roman"/>
        </w:rPr>
        <w:footnoteRef/>
      </w:r>
      <w:r>
        <w:rPr>
          <w:rFonts w:ascii="Times New Roman" w:hAnsi="Times New Roman" w:cs="Times New Roman"/>
        </w:rPr>
        <w:t xml:space="preserve"> To provide a minimum level of convergence in our model parameters, we set the sampling size by default as 1000 in our study.</w:t>
      </w:r>
    </w:p>
  </w:footnote>
  <w:footnote w:id="9">
    <w:p w:rsidR="00035D74" w:rsidRPr="00035D74" w:rsidRDefault="00035D74" w:rsidP="00035D74">
      <w:pPr>
        <w:pStyle w:val="FootnoteText"/>
        <w:jc w:val="both"/>
        <w:rPr>
          <w:rFonts w:ascii="Times New Roman" w:hAnsi="Times New Roman" w:cs="Times New Roman"/>
        </w:rPr>
      </w:pPr>
      <w:r w:rsidRPr="00035D74">
        <w:rPr>
          <w:rStyle w:val="FootnoteReference"/>
          <w:rFonts w:ascii="Times New Roman" w:hAnsi="Times New Roman" w:cs="Times New Roman"/>
        </w:rPr>
        <w:footnoteRef/>
      </w:r>
      <w:r w:rsidRPr="00035D74">
        <w:rPr>
          <w:rFonts w:ascii="Times New Roman" w:hAnsi="Times New Roman" w:cs="Times New Roman"/>
        </w:rPr>
        <w:t xml:space="preserve"> E.g. </w:t>
      </w:r>
      <w:proofErr w:type="spellStart"/>
      <w:r w:rsidRPr="00035D74">
        <w:rPr>
          <w:rFonts w:ascii="Times New Roman" w:hAnsi="Times New Roman" w:cs="Times New Roman"/>
        </w:rPr>
        <w:t>pred_Germany</w:t>
      </w:r>
      <w:proofErr w:type="spellEnd"/>
      <w:r w:rsidRPr="00035D74">
        <w:rPr>
          <w:rFonts w:ascii="Times New Roman" w:hAnsi="Times New Roman" w:cs="Times New Roman"/>
        </w:rPr>
        <w:t>+</w:t>
      </w:r>
      <w:r w:rsidRPr="00035D74">
        <w:rPr>
          <w:rFonts w:ascii="Times New Roman" w:hAnsi="Times New Roman" w:cs="Times New Roman"/>
        </w:rPr>
        <w:t xml:space="preserve"> in figure 4</w:t>
      </w:r>
    </w:p>
  </w:footnote>
  <w:footnote w:id="10">
    <w:p w:rsidR="00035D74" w:rsidRPr="00035D74" w:rsidRDefault="00035D74" w:rsidP="00035D74">
      <w:pPr>
        <w:pStyle w:val="FootnoteText"/>
        <w:jc w:val="both"/>
        <w:rPr>
          <w:rFonts w:ascii="Times New Roman" w:hAnsi="Times New Roman" w:cs="Times New Roman"/>
        </w:rPr>
      </w:pPr>
      <w:r w:rsidRPr="00035D74">
        <w:rPr>
          <w:rStyle w:val="FootnoteReference"/>
          <w:rFonts w:ascii="Times New Roman" w:hAnsi="Times New Roman" w:cs="Times New Roman"/>
        </w:rPr>
        <w:footnoteRef/>
      </w:r>
      <w:r w:rsidRPr="00035D74">
        <w:rPr>
          <w:rFonts w:ascii="Times New Roman" w:hAnsi="Times New Roman" w:cs="Times New Roman"/>
        </w:rPr>
        <w:t xml:space="preserve">E.g. </w:t>
      </w:r>
      <w:proofErr w:type="spellStart"/>
      <w:r w:rsidRPr="00035D74">
        <w:rPr>
          <w:rFonts w:ascii="Times New Roman" w:hAnsi="Times New Roman" w:cs="Times New Roman"/>
        </w:rPr>
        <w:t>pred_Germany</w:t>
      </w:r>
      <w:proofErr w:type="spellEnd"/>
      <w:r w:rsidRPr="00035D74">
        <w:rPr>
          <w:rFonts w:ascii="Times New Roman" w:hAnsi="Times New Roman" w:cs="Times New Roman"/>
        </w:rPr>
        <w:t xml:space="preserve">- </w:t>
      </w:r>
      <w:r w:rsidRPr="00035D74">
        <w:rPr>
          <w:rFonts w:ascii="Times New Roman" w:hAnsi="Times New Roman" w:cs="Times New Roman"/>
        </w:rPr>
        <w:t>in figure 4</w:t>
      </w:r>
    </w:p>
    <w:p w:rsidR="00035D74" w:rsidRDefault="00035D74">
      <w:pPr>
        <w:pStyle w:val="FootnoteText"/>
      </w:pPr>
    </w:p>
  </w:footnote>
  <w:footnote w:id="11">
    <w:p w:rsidR="00681696" w:rsidRDefault="00681696" w:rsidP="00C13499">
      <w:pPr>
        <w:pStyle w:val="FootnoteText"/>
        <w:jc w:val="both"/>
        <w:rPr>
          <w:rFonts w:ascii="Times New Roman" w:hAnsi="Times New Roman" w:cs="Times New Roman"/>
        </w:rPr>
      </w:pPr>
      <w:r>
        <w:rPr>
          <w:rStyle w:val="FootnoteReference"/>
        </w:rPr>
        <w:footnoteRef/>
      </w:r>
      <w:r>
        <w:t xml:space="preserve"> </w:t>
      </w:r>
      <w:r>
        <w:rPr>
          <w:rFonts w:ascii="Times New Roman" w:hAnsi="Times New Roman" w:cs="Times New Roman"/>
        </w:rPr>
        <w:t xml:space="preserve">Due to relative long time needed to be available to the MCMC sampling process </w:t>
      </w:r>
      <w:r w:rsidR="00C13499">
        <w:rPr>
          <w:rFonts w:ascii="Times New Roman" w:hAnsi="Times New Roman" w:cs="Times New Roman"/>
        </w:rPr>
        <w:t>the studied factors</w:t>
      </w:r>
      <w:r>
        <w:rPr>
          <w:rFonts w:ascii="Times New Roman" w:hAnsi="Times New Roman" w:cs="Times New Roman"/>
        </w:rPr>
        <w:t xml:space="preserve"> in </w:t>
      </w:r>
      <w:r w:rsidR="00C13499">
        <w:rPr>
          <w:rFonts w:ascii="Times New Roman" w:hAnsi="Times New Roman" w:cs="Times New Roman"/>
        </w:rPr>
        <w:t>all</w:t>
      </w:r>
      <w:r>
        <w:rPr>
          <w:rFonts w:ascii="Times New Roman" w:hAnsi="Times New Roman" w:cs="Times New Roman"/>
        </w:rPr>
        <w:t xml:space="preserve"> Countries, we run the PYMC3 model training on a virtual machine on the Linux server at the university </w:t>
      </w:r>
      <w:proofErr w:type="gramStart"/>
      <w:r>
        <w:rPr>
          <w:rFonts w:ascii="Times New Roman" w:hAnsi="Times New Roman" w:cs="Times New Roman"/>
        </w:rPr>
        <w:t>of .</w:t>
      </w:r>
      <w:proofErr w:type="gramEnd"/>
    </w:p>
    <w:p w:rsidR="00681696" w:rsidRDefault="00681696">
      <w:pPr>
        <w:pStyle w:val="FootnoteText"/>
      </w:pPr>
    </w:p>
  </w:footnote>
  <w:footnote w:id="12">
    <w:p w:rsidR="00681696" w:rsidRDefault="00681696" w:rsidP="005F17B1">
      <w:pPr>
        <w:pStyle w:val="FootnoteText"/>
        <w:jc w:val="both"/>
        <w:rPr>
          <w:rFonts w:ascii="Times New Roman" w:hAnsi="Times New Roman" w:cs="Times New Roman"/>
        </w:rPr>
      </w:pPr>
      <w:r>
        <w:rPr>
          <w:rStyle w:val="FootnoteReference"/>
          <w:rFonts w:ascii="Times New Roman" w:hAnsi="Times New Roman" w:cs="Times New Roman"/>
        </w:rPr>
        <w:footnoteRef/>
      </w:r>
      <w:r>
        <w:rPr>
          <w:rFonts w:ascii="Times New Roman" w:hAnsi="Times New Roman" w:cs="Times New Roman"/>
        </w:rPr>
        <w:t xml:space="preserve"> The max and min values of  </w:t>
      </w:r>
      <m:oMath>
        <m:sSup>
          <m:sSupPr>
            <m:ctrlPr>
              <w:rPr>
                <w:rFonts w:ascii="Cambria Math" w:eastAsia="Cambria Math" w:hAnsi="Cambria Math" w:cs="Times New Roman"/>
              </w:rPr>
            </m:ctrlPr>
          </m:sSupPr>
          <m:e>
            <m:r>
              <m:rPr>
                <m:sty m:val="p"/>
              </m:rPr>
              <w:rPr>
                <w:rFonts w:ascii="Cambria Math" w:hAnsi="Cambria Math" w:cs="Times New Roman"/>
              </w:rPr>
              <m:t>e</m:t>
            </m:r>
          </m:e>
          <m:sup>
            <m:r>
              <m:rPr>
                <m:sty m:val="p"/>
              </m:rPr>
              <w:rPr>
                <w:rFonts w:ascii="Cambria Math" w:hAnsi="Cambria Math" w:cs="Times New Roman"/>
              </w:rPr>
              <m:t>+&lt;-</m:t>
            </m:r>
          </m:sup>
        </m:sSup>
      </m:oMath>
      <w:r>
        <w:rPr>
          <w:rFonts w:ascii="Times New Roman" w:hAnsi="Times New Roman" w:cs="Times New Roman"/>
        </w:rPr>
        <w:t xml:space="preserve">s </w:t>
      </w:r>
      <w:r w:rsidR="005F17B1">
        <w:rPr>
          <w:rFonts w:ascii="Times New Roman" w:hAnsi="Times New Roman" w:cs="Times New Roman"/>
        </w:rPr>
        <w:t>differ</w:t>
      </w:r>
      <w:r>
        <w:rPr>
          <w:rFonts w:ascii="Times New Roman" w:hAnsi="Times New Roman" w:cs="Times New Roman"/>
        </w:rPr>
        <w:t xml:space="preserve"> in the range of </w:t>
      </w:r>
      <w:r w:rsidR="005F17B1">
        <w:rPr>
          <w:rFonts w:ascii="Times New Roman" w:hAnsi="Times New Roman" w:cs="Times New Roman"/>
        </w:rPr>
        <w:t>maximal 2 percent from</w:t>
      </w:r>
      <w:r>
        <w:rPr>
          <w:rFonts w:ascii="Times New Roman" w:hAnsi="Times New Roman" w:cs="Times New Roman"/>
        </w:rPr>
        <w:t xml:space="preserve"> the depicted mean values and are represented in supplementary material.</w:t>
      </w:r>
    </w:p>
  </w:footnote>
  <w:footnote w:id="13">
    <w:p w:rsidR="00897686" w:rsidRPr="00897686" w:rsidRDefault="00897686" w:rsidP="007F49BA">
      <w:pPr>
        <w:pStyle w:val="FootnoteText"/>
        <w:jc w:val="both"/>
        <w:rPr>
          <w:rFonts w:ascii="Times New Roman" w:hAnsi="Times New Roman" w:cs="Times New Roman"/>
        </w:rPr>
      </w:pPr>
      <w:r w:rsidRPr="00897686">
        <w:rPr>
          <w:rStyle w:val="FootnoteReference"/>
          <w:rFonts w:ascii="Times New Roman" w:hAnsi="Times New Roman" w:cs="Times New Roman"/>
        </w:rPr>
        <w:footnoteRef/>
      </w:r>
      <w:r w:rsidRPr="00897686">
        <w:rPr>
          <w:rFonts w:ascii="Times New Roman" w:hAnsi="Times New Roman" w:cs="Times New Roman"/>
        </w:rPr>
        <w:t xml:space="preserve"> Note that when analyzing the days where a completely implemented NPI, </w:t>
      </w:r>
      <w:r w:rsidRPr="00897686">
        <w:rPr>
          <w:rFonts w:ascii="Times New Roman" w:hAnsi="Times New Roman" w:cs="Times New Roman"/>
          <w:i/>
          <w:iCs/>
        </w:rPr>
        <w:t xml:space="preserve">X </w:t>
      </w:r>
      <w:r w:rsidRPr="00897686">
        <w:rPr>
          <w:rFonts w:ascii="Times New Roman" w:hAnsi="Times New Roman" w:cs="Times New Roman"/>
        </w:rPr>
        <w:t xml:space="preserve">has been active (positive signed days) and where the </w:t>
      </w:r>
      <w:r w:rsidRPr="00897686">
        <w:rPr>
          <w:rFonts w:ascii="Times New Roman" w:hAnsi="Times New Roman" w:cs="Times New Roman"/>
          <w:i/>
          <w:iCs/>
        </w:rPr>
        <w:t>X</w:t>
      </w:r>
      <w:r w:rsidRPr="00897686">
        <w:rPr>
          <w:rFonts w:ascii="Times New Roman" w:hAnsi="Times New Roman" w:cs="Times New Roman"/>
        </w:rPr>
        <w:t xml:space="preserve"> has not been active (negative signed days), we subtracted the days containing the </w:t>
      </w:r>
      <w:r w:rsidRPr="007F49BA">
        <w:rPr>
          <w:rFonts w:ascii="Times New Roman" w:hAnsi="Times New Roman" w:cs="Times New Roman"/>
          <w:i/>
          <w:iCs/>
        </w:rPr>
        <w:t>partially</w:t>
      </w:r>
      <w:r w:rsidRPr="00897686">
        <w:rPr>
          <w:rFonts w:ascii="Times New Roman" w:hAnsi="Times New Roman" w:cs="Times New Roman"/>
        </w:rPr>
        <w:t xml:space="preserve"> </w:t>
      </w:r>
      <w:r w:rsidRPr="00897686">
        <w:rPr>
          <w:rFonts w:ascii="Times New Roman" w:hAnsi="Times New Roman" w:cs="Times New Roman"/>
          <w:i/>
          <w:iCs/>
        </w:rPr>
        <w:t>X</w:t>
      </w:r>
      <w:r w:rsidRPr="00897686">
        <w:rPr>
          <w:rFonts w:ascii="Times New Roman" w:hAnsi="Times New Roman" w:cs="Times New Roman"/>
        </w:rPr>
        <w:t xml:space="preserve"> from the negative signed days, so in order to constitute a meaningful contrast between the positive signed and the negative signed days. In the same way, </w:t>
      </w:r>
      <w:r w:rsidRPr="00897686">
        <w:rPr>
          <w:rFonts w:ascii="Times New Roman" w:hAnsi="Times New Roman" w:cs="Times New Roman"/>
        </w:rPr>
        <w:t>when analyzing the days where a</w:t>
      </w:r>
      <w:r w:rsidRPr="00897686">
        <w:rPr>
          <w:rFonts w:ascii="Times New Roman" w:hAnsi="Times New Roman" w:cs="Times New Roman"/>
        </w:rPr>
        <w:t xml:space="preserve"> partially</w:t>
      </w:r>
      <w:r w:rsidRPr="00897686">
        <w:rPr>
          <w:rFonts w:ascii="Times New Roman" w:hAnsi="Times New Roman" w:cs="Times New Roman"/>
        </w:rPr>
        <w:t xml:space="preserve"> implemented NPI, </w:t>
      </w:r>
      <w:r w:rsidRPr="00897686">
        <w:rPr>
          <w:rFonts w:ascii="Times New Roman" w:hAnsi="Times New Roman" w:cs="Times New Roman"/>
          <w:i/>
          <w:iCs/>
        </w:rPr>
        <w:t xml:space="preserve">X </w:t>
      </w:r>
      <w:r w:rsidRPr="00897686">
        <w:rPr>
          <w:rFonts w:ascii="Times New Roman" w:hAnsi="Times New Roman" w:cs="Times New Roman"/>
        </w:rPr>
        <w:t xml:space="preserve">has been active (positive signed days) and where the </w:t>
      </w:r>
      <w:r w:rsidRPr="00897686">
        <w:rPr>
          <w:rFonts w:ascii="Times New Roman" w:hAnsi="Times New Roman" w:cs="Times New Roman"/>
          <w:i/>
          <w:iCs/>
        </w:rPr>
        <w:t>X</w:t>
      </w:r>
      <w:r w:rsidRPr="00897686">
        <w:rPr>
          <w:rFonts w:ascii="Times New Roman" w:hAnsi="Times New Roman" w:cs="Times New Roman"/>
        </w:rPr>
        <w:t xml:space="preserve"> has not been active (negative signed days), we subtracted the days containing the </w:t>
      </w:r>
      <w:r w:rsidRPr="00897686">
        <w:rPr>
          <w:rFonts w:ascii="Times New Roman" w:hAnsi="Times New Roman" w:cs="Times New Roman"/>
        </w:rPr>
        <w:t>completely activation of</w:t>
      </w:r>
      <w:r w:rsidRPr="00897686">
        <w:rPr>
          <w:rFonts w:ascii="Times New Roman" w:hAnsi="Times New Roman" w:cs="Times New Roman"/>
        </w:rPr>
        <w:t xml:space="preserve"> </w:t>
      </w:r>
      <w:r w:rsidRPr="00897686">
        <w:rPr>
          <w:rFonts w:ascii="Times New Roman" w:hAnsi="Times New Roman" w:cs="Times New Roman"/>
          <w:i/>
          <w:iCs/>
        </w:rPr>
        <w:t>X</w:t>
      </w:r>
      <w:r w:rsidRPr="00897686">
        <w:rPr>
          <w:rFonts w:ascii="Times New Roman" w:hAnsi="Times New Roman" w:cs="Times New Roman"/>
        </w:rPr>
        <w:t xml:space="preserve"> from the negative signed days</w:t>
      </w:r>
      <w:r w:rsidRPr="00897686">
        <w:rPr>
          <w:rFonts w:ascii="Times New Roman" w:hAnsi="Times New Roman" w:cs="Times New Roman"/>
        </w:rPr>
        <w:t>.</w:t>
      </w:r>
    </w:p>
  </w:footnote>
  <w:footnote w:id="14">
    <w:p w:rsidR="00627F83" w:rsidRPr="00897686" w:rsidRDefault="00627F83" w:rsidP="00897686">
      <w:pPr>
        <w:pStyle w:val="FootnoteText"/>
        <w:jc w:val="both"/>
        <w:rPr>
          <w:rFonts w:ascii="Times New Roman" w:hAnsi="Times New Roman" w:cs="Times New Roman"/>
        </w:rPr>
      </w:pPr>
      <w:r w:rsidRPr="00897686">
        <w:rPr>
          <w:rStyle w:val="FootnoteReference"/>
          <w:rFonts w:ascii="Times New Roman" w:hAnsi="Times New Roman" w:cs="Times New Roman"/>
        </w:rPr>
        <w:footnoteRef/>
      </w:r>
      <w:r w:rsidRPr="00897686">
        <w:rPr>
          <w:rFonts w:ascii="Times New Roman" w:hAnsi="Times New Roman" w:cs="Times New Roman"/>
        </w:rPr>
        <w:t xml:space="preserve"> </w:t>
      </w:r>
      <w:r w:rsidRPr="00897686">
        <w:rPr>
          <w:rFonts w:ascii="Times New Roman" w:hAnsi="Times New Roman" w:cs="Times New Roman"/>
          <w:color w:val="000000"/>
        </w:rPr>
        <w:t>A glossary for definition of abbreviated NPIs is provided by the European center for disease prevention and control and is added to the supplementary material of this paper.</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B700F6"/>
    <w:multiLevelType w:val="hybridMultilevel"/>
    <w:tmpl w:val="1FB26292"/>
    <w:lvl w:ilvl="0" w:tplc="D5944E4C">
      <w:start w:val="1"/>
      <w:numFmt w:val="decimal"/>
      <w:lvlText w:val="%1."/>
      <w:lvlJc w:val="left"/>
    </w:lvl>
    <w:lvl w:ilvl="1" w:tplc="52CCBF4E">
      <w:start w:val="1"/>
      <w:numFmt w:val="lowerLetter"/>
      <w:lvlText w:val="%2."/>
      <w:lvlJc w:val="left"/>
      <w:pPr>
        <w:ind w:left="1440" w:hanging="360"/>
      </w:pPr>
    </w:lvl>
    <w:lvl w:ilvl="2" w:tplc="AD261172">
      <w:start w:val="1"/>
      <w:numFmt w:val="lowerRoman"/>
      <w:lvlText w:val="%3."/>
      <w:lvlJc w:val="right"/>
      <w:pPr>
        <w:ind w:left="2160" w:hanging="180"/>
      </w:pPr>
    </w:lvl>
    <w:lvl w:ilvl="3" w:tplc="85C6785E">
      <w:start w:val="1"/>
      <w:numFmt w:val="decimal"/>
      <w:lvlText w:val="%4."/>
      <w:lvlJc w:val="left"/>
      <w:pPr>
        <w:ind w:left="2880" w:hanging="360"/>
      </w:pPr>
    </w:lvl>
    <w:lvl w:ilvl="4" w:tplc="33F6AC96">
      <w:start w:val="1"/>
      <w:numFmt w:val="lowerLetter"/>
      <w:lvlText w:val="%5."/>
      <w:lvlJc w:val="left"/>
      <w:pPr>
        <w:ind w:left="3600" w:hanging="360"/>
      </w:pPr>
    </w:lvl>
    <w:lvl w:ilvl="5" w:tplc="A940AD20">
      <w:start w:val="1"/>
      <w:numFmt w:val="lowerRoman"/>
      <w:lvlText w:val="%6."/>
      <w:lvlJc w:val="right"/>
      <w:pPr>
        <w:ind w:left="4320" w:hanging="180"/>
      </w:pPr>
    </w:lvl>
    <w:lvl w:ilvl="6" w:tplc="43CE8760">
      <w:start w:val="1"/>
      <w:numFmt w:val="decimal"/>
      <w:lvlText w:val="%7."/>
      <w:lvlJc w:val="left"/>
      <w:pPr>
        <w:ind w:left="5040" w:hanging="360"/>
      </w:pPr>
    </w:lvl>
    <w:lvl w:ilvl="7" w:tplc="D2A832C8">
      <w:start w:val="1"/>
      <w:numFmt w:val="lowerLetter"/>
      <w:lvlText w:val="%8."/>
      <w:lvlJc w:val="left"/>
      <w:pPr>
        <w:ind w:left="5760" w:hanging="360"/>
      </w:pPr>
    </w:lvl>
    <w:lvl w:ilvl="8" w:tplc="94ECBA38">
      <w:start w:val="1"/>
      <w:numFmt w:val="lowerRoman"/>
      <w:lvlText w:val="%9."/>
      <w:lvlJc w:val="right"/>
      <w:pPr>
        <w:ind w:left="6480" w:hanging="180"/>
      </w:pPr>
    </w:lvl>
  </w:abstractNum>
  <w:abstractNum w:abstractNumId="1" w15:restartNumberingAfterBreak="0">
    <w:nsid w:val="2E2F0314"/>
    <w:multiLevelType w:val="hybridMultilevel"/>
    <w:tmpl w:val="AB0C8016"/>
    <w:lvl w:ilvl="0" w:tplc="60BA3E10">
      <w:start w:val="1"/>
      <w:numFmt w:val="decimal"/>
      <w:lvlText w:val="%1."/>
      <w:lvlJc w:val="left"/>
    </w:lvl>
    <w:lvl w:ilvl="1" w:tplc="3EEC3794">
      <w:start w:val="1"/>
      <w:numFmt w:val="lowerLetter"/>
      <w:lvlText w:val="%2."/>
      <w:lvlJc w:val="left"/>
      <w:pPr>
        <w:ind w:left="1440" w:hanging="360"/>
      </w:pPr>
    </w:lvl>
    <w:lvl w:ilvl="2" w:tplc="813EBBA0">
      <w:start w:val="1"/>
      <w:numFmt w:val="lowerRoman"/>
      <w:lvlText w:val="%3."/>
      <w:lvlJc w:val="right"/>
      <w:pPr>
        <w:ind w:left="2160" w:hanging="180"/>
      </w:pPr>
    </w:lvl>
    <w:lvl w:ilvl="3" w:tplc="6B784816">
      <w:start w:val="1"/>
      <w:numFmt w:val="decimal"/>
      <w:lvlText w:val="%4."/>
      <w:lvlJc w:val="left"/>
      <w:pPr>
        <w:ind w:left="2880" w:hanging="360"/>
      </w:pPr>
    </w:lvl>
    <w:lvl w:ilvl="4" w:tplc="F712093E">
      <w:start w:val="1"/>
      <w:numFmt w:val="lowerLetter"/>
      <w:lvlText w:val="%5."/>
      <w:lvlJc w:val="left"/>
      <w:pPr>
        <w:ind w:left="3600" w:hanging="360"/>
      </w:pPr>
    </w:lvl>
    <w:lvl w:ilvl="5" w:tplc="E9B45964">
      <w:start w:val="1"/>
      <w:numFmt w:val="lowerRoman"/>
      <w:lvlText w:val="%6."/>
      <w:lvlJc w:val="right"/>
      <w:pPr>
        <w:ind w:left="4320" w:hanging="180"/>
      </w:pPr>
    </w:lvl>
    <w:lvl w:ilvl="6" w:tplc="D25CC7D4">
      <w:start w:val="1"/>
      <w:numFmt w:val="decimal"/>
      <w:lvlText w:val="%7."/>
      <w:lvlJc w:val="left"/>
      <w:pPr>
        <w:ind w:left="5040" w:hanging="360"/>
      </w:pPr>
    </w:lvl>
    <w:lvl w:ilvl="7" w:tplc="A60A7030">
      <w:start w:val="1"/>
      <w:numFmt w:val="lowerLetter"/>
      <w:lvlText w:val="%8."/>
      <w:lvlJc w:val="left"/>
      <w:pPr>
        <w:ind w:left="5760" w:hanging="360"/>
      </w:pPr>
    </w:lvl>
    <w:lvl w:ilvl="8" w:tplc="499A2306">
      <w:start w:val="1"/>
      <w:numFmt w:val="lowerRoman"/>
      <w:lvlText w:val="%9."/>
      <w:lvlJc w:val="right"/>
      <w:pPr>
        <w:ind w:left="6480" w:hanging="180"/>
      </w:pPr>
    </w:lvl>
  </w:abstractNum>
  <w:abstractNum w:abstractNumId="2" w15:restartNumberingAfterBreak="0">
    <w:nsid w:val="5D3222CF"/>
    <w:multiLevelType w:val="hybridMultilevel"/>
    <w:tmpl w:val="54C0CDA4"/>
    <w:lvl w:ilvl="0" w:tplc="AA4A55B2">
      <w:start w:val="1"/>
      <w:numFmt w:val="decimal"/>
      <w:lvlText w:val="%1."/>
      <w:lvlJc w:val="left"/>
    </w:lvl>
    <w:lvl w:ilvl="1" w:tplc="E0523530">
      <w:start w:val="1"/>
      <w:numFmt w:val="lowerLetter"/>
      <w:lvlText w:val="%2."/>
      <w:lvlJc w:val="left"/>
      <w:pPr>
        <w:ind w:left="1440" w:hanging="360"/>
      </w:pPr>
    </w:lvl>
    <w:lvl w:ilvl="2" w:tplc="C99C0194">
      <w:start w:val="1"/>
      <w:numFmt w:val="lowerRoman"/>
      <w:lvlText w:val="%3."/>
      <w:lvlJc w:val="right"/>
      <w:pPr>
        <w:ind w:left="2160" w:hanging="180"/>
      </w:pPr>
    </w:lvl>
    <w:lvl w:ilvl="3" w:tplc="CF0473AC">
      <w:start w:val="1"/>
      <w:numFmt w:val="decimal"/>
      <w:lvlText w:val="%4."/>
      <w:lvlJc w:val="left"/>
      <w:pPr>
        <w:ind w:left="2880" w:hanging="360"/>
      </w:pPr>
    </w:lvl>
    <w:lvl w:ilvl="4" w:tplc="136C7690">
      <w:start w:val="1"/>
      <w:numFmt w:val="lowerLetter"/>
      <w:lvlText w:val="%5."/>
      <w:lvlJc w:val="left"/>
      <w:pPr>
        <w:ind w:left="3600" w:hanging="360"/>
      </w:pPr>
    </w:lvl>
    <w:lvl w:ilvl="5" w:tplc="FC2A6B44">
      <w:start w:val="1"/>
      <w:numFmt w:val="lowerRoman"/>
      <w:lvlText w:val="%6."/>
      <w:lvlJc w:val="right"/>
      <w:pPr>
        <w:ind w:left="4320" w:hanging="180"/>
      </w:pPr>
    </w:lvl>
    <w:lvl w:ilvl="6" w:tplc="8F1C94D6">
      <w:start w:val="1"/>
      <w:numFmt w:val="decimal"/>
      <w:lvlText w:val="%7."/>
      <w:lvlJc w:val="left"/>
      <w:pPr>
        <w:ind w:left="5040" w:hanging="360"/>
      </w:pPr>
    </w:lvl>
    <w:lvl w:ilvl="7" w:tplc="5CB0517E">
      <w:start w:val="1"/>
      <w:numFmt w:val="lowerLetter"/>
      <w:lvlText w:val="%8."/>
      <w:lvlJc w:val="left"/>
      <w:pPr>
        <w:ind w:left="5760" w:hanging="360"/>
      </w:pPr>
    </w:lvl>
    <w:lvl w:ilvl="8" w:tplc="BC906BC6">
      <w:start w:val="1"/>
      <w:numFmt w:val="lowerRoman"/>
      <w:lvlText w:val="%9."/>
      <w:lvlJc w:val="right"/>
      <w:pPr>
        <w:ind w:left="6480" w:hanging="180"/>
      </w:pPr>
    </w:lvl>
  </w:abstractNum>
  <w:abstractNum w:abstractNumId="3" w15:restartNumberingAfterBreak="0">
    <w:nsid w:val="70F535AE"/>
    <w:multiLevelType w:val="hybridMultilevel"/>
    <w:tmpl w:val="348AFBF0"/>
    <w:lvl w:ilvl="0" w:tplc="CEB0CE06">
      <w:start w:val="1"/>
      <w:numFmt w:val="decimal"/>
      <w:lvlText w:val="%1."/>
      <w:lvlJc w:val="left"/>
      <w:pPr>
        <w:ind w:left="720" w:hanging="360"/>
      </w:pPr>
      <w:rPr>
        <w:rFonts w:hint="default"/>
      </w:rPr>
    </w:lvl>
    <w:lvl w:ilvl="1" w:tplc="7196FC2C">
      <w:start w:val="1"/>
      <w:numFmt w:val="lowerLetter"/>
      <w:lvlText w:val="%2."/>
      <w:lvlJc w:val="left"/>
      <w:pPr>
        <w:ind w:left="1440" w:hanging="360"/>
      </w:pPr>
    </w:lvl>
    <w:lvl w:ilvl="2" w:tplc="B8EE2C28">
      <w:start w:val="1"/>
      <w:numFmt w:val="lowerRoman"/>
      <w:lvlText w:val="%3."/>
      <w:lvlJc w:val="right"/>
      <w:pPr>
        <w:ind w:left="2160" w:hanging="180"/>
      </w:pPr>
    </w:lvl>
    <w:lvl w:ilvl="3" w:tplc="47FAD8A6">
      <w:start w:val="1"/>
      <w:numFmt w:val="decimal"/>
      <w:lvlText w:val="%4."/>
      <w:lvlJc w:val="left"/>
      <w:pPr>
        <w:ind w:left="2880" w:hanging="360"/>
      </w:pPr>
    </w:lvl>
    <w:lvl w:ilvl="4" w:tplc="17905D5E">
      <w:start w:val="1"/>
      <w:numFmt w:val="lowerLetter"/>
      <w:lvlText w:val="%5."/>
      <w:lvlJc w:val="left"/>
      <w:pPr>
        <w:ind w:left="3600" w:hanging="360"/>
      </w:pPr>
    </w:lvl>
    <w:lvl w:ilvl="5" w:tplc="6DE2D6AA">
      <w:start w:val="1"/>
      <w:numFmt w:val="lowerRoman"/>
      <w:lvlText w:val="%6."/>
      <w:lvlJc w:val="right"/>
      <w:pPr>
        <w:ind w:left="4320" w:hanging="180"/>
      </w:pPr>
    </w:lvl>
    <w:lvl w:ilvl="6" w:tplc="D85AA650">
      <w:start w:val="1"/>
      <w:numFmt w:val="decimal"/>
      <w:lvlText w:val="%7."/>
      <w:lvlJc w:val="left"/>
      <w:pPr>
        <w:ind w:left="5040" w:hanging="360"/>
      </w:pPr>
    </w:lvl>
    <w:lvl w:ilvl="7" w:tplc="B456EE92">
      <w:start w:val="1"/>
      <w:numFmt w:val="lowerLetter"/>
      <w:lvlText w:val="%8."/>
      <w:lvlJc w:val="left"/>
      <w:pPr>
        <w:ind w:left="5760" w:hanging="360"/>
      </w:pPr>
    </w:lvl>
    <w:lvl w:ilvl="8" w:tplc="F0965F38">
      <w:start w:val="1"/>
      <w:numFmt w:val="lowerRoman"/>
      <w:lvlText w:val="%9."/>
      <w:lvlJc w:val="right"/>
      <w:pPr>
        <w:ind w:left="6480" w:hanging="180"/>
      </w:pPr>
    </w:lvl>
  </w:abstractNum>
  <w:abstractNum w:abstractNumId="4" w15:restartNumberingAfterBreak="0">
    <w:nsid w:val="7E927E67"/>
    <w:multiLevelType w:val="hybridMultilevel"/>
    <w:tmpl w:val="2872FF60"/>
    <w:lvl w:ilvl="0" w:tplc="C148607C">
      <w:start w:val="1"/>
      <w:numFmt w:val="decimal"/>
      <w:lvlText w:val="%1."/>
      <w:lvlJc w:val="left"/>
    </w:lvl>
    <w:lvl w:ilvl="1" w:tplc="FD147138">
      <w:start w:val="1"/>
      <w:numFmt w:val="lowerLetter"/>
      <w:lvlText w:val="%2."/>
      <w:lvlJc w:val="left"/>
      <w:pPr>
        <w:ind w:left="1440" w:hanging="360"/>
      </w:pPr>
    </w:lvl>
    <w:lvl w:ilvl="2" w:tplc="0FDE075C">
      <w:start w:val="1"/>
      <w:numFmt w:val="lowerRoman"/>
      <w:lvlText w:val="%3."/>
      <w:lvlJc w:val="right"/>
      <w:pPr>
        <w:ind w:left="2160" w:hanging="180"/>
      </w:pPr>
    </w:lvl>
    <w:lvl w:ilvl="3" w:tplc="94C0085C">
      <w:start w:val="1"/>
      <w:numFmt w:val="decimal"/>
      <w:lvlText w:val="%4."/>
      <w:lvlJc w:val="left"/>
      <w:pPr>
        <w:ind w:left="2880" w:hanging="360"/>
      </w:pPr>
    </w:lvl>
    <w:lvl w:ilvl="4" w:tplc="F3523AB8">
      <w:start w:val="1"/>
      <w:numFmt w:val="lowerLetter"/>
      <w:lvlText w:val="%5."/>
      <w:lvlJc w:val="left"/>
      <w:pPr>
        <w:ind w:left="3600" w:hanging="360"/>
      </w:pPr>
    </w:lvl>
    <w:lvl w:ilvl="5" w:tplc="27FC7CBC">
      <w:start w:val="1"/>
      <w:numFmt w:val="lowerRoman"/>
      <w:lvlText w:val="%6."/>
      <w:lvlJc w:val="right"/>
      <w:pPr>
        <w:ind w:left="4320" w:hanging="180"/>
      </w:pPr>
    </w:lvl>
    <w:lvl w:ilvl="6" w:tplc="9BC66096">
      <w:start w:val="1"/>
      <w:numFmt w:val="decimal"/>
      <w:lvlText w:val="%7."/>
      <w:lvlJc w:val="left"/>
      <w:pPr>
        <w:ind w:left="5040" w:hanging="360"/>
      </w:pPr>
    </w:lvl>
    <w:lvl w:ilvl="7" w:tplc="C73AAEDA">
      <w:start w:val="1"/>
      <w:numFmt w:val="lowerLetter"/>
      <w:lvlText w:val="%8."/>
      <w:lvlJc w:val="left"/>
      <w:pPr>
        <w:ind w:left="5760" w:hanging="360"/>
      </w:pPr>
    </w:lvl>
    <w:lvl w:ilvl="8" w:tplc="847295AE">
      <w:start w:val="1"/>
      <w:numFmt w:val="lowerRoman"/>
      <w:lvlText w:val="%9."/>
      <w:lvlJc w:val="right"/>
      <w:pPr>
        <w:ind w:left="6480" w:hanging="180"/>
      </w:pPr>
    </w:lvl>
  </w:abstractNum>
  <w:num w:numId="1">
    <w:abstractNumId w:val="2"/>
  </w:num>
  <w:num w:numId="2">
    <w:abstractNumId w:val="0"/>
  </w:num>
  <w:num w:numId="3">
    <w:abstractNumId w:val="4"/>
  </w:num>
  <w:num w:numId="4">
    <w:abstractNumId w:val="1"/>
  </w:num>
  <w:num w:numId="5">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A6B28"/>
    <w:rsid w:val="00030E22"/>
    <w:rsid w:val="00035D74"/>
    <w:rsid w:val="00040B9A"/>
    <w:rsid w:val="00047049"/>
    <w:rsid w:val="00051682"/>
    <w:rsid w:val="000725D3"/>
    <w:rsid w:val="000831F6"/>
    <w:rsid w:val="000B507B"/>
    <w:rsid w:val="000C531D"/>
    <w:rsid w:val="000C5DDD"/>
    <w:rsid w:val="000D0647"/>
    <w:rsid w:val="000D4730"/>
    <w:rsid w:val="000E2D81"/>
    <w:rsid w:val="00112A4E"/>
    <w:rsid w:val="00135466"/>
    <w:rsid w:val="001377D1"/>
    <w:rsid w:val="00140A0F"/>
    <w:rsid w:val="001545FC"/>
    <w:rsid w:val="00163FBD"/>
    <w:rsid w:val="001C16FF"/>
    <w:rsid w:val="001E0CE4"/>
    <w:rsid w:val="001F7554"/>
    <w:rsid w:val="00200E25"/>
    <w:rsid w:val="00202316"/>
    <w:rsid w:val="00203D90"/>
    <w:rsid w:val="002062AA"/>
    <w:rsid w:val="00211A1C"/>
    <w:rsid w:val="00216379"/>
    <w:rsid w:val="002203BB"/>
    <w:rsid w:val="0022262B"/>
    <w:rsid w:val="00244EF7"/>
    <w:rsid w:val="00245CB3"/>
    <w:rsid w:val="00255D05"/>
    <w:rsid w:val="00262D8E"/>
    <w:rsid w:val="00262EE5"/>
    <w:rsid w:val="00274BA7"/>
    <w:rsid w:val="002A6440"/>
    <w:rsid w:val="002B4DC1"/>
    <w:rsid w:val="002B55D9"/>
    <w:rsid w:val="002B7F38"/>
    <w:rsid w:val="002F10B7"/>
    <w:rsid w:val="002F4983"/>
    <w:rsid w:val="00301EDB"/>
    <w:rsid w:val="003054D9"/>
    <w:rsid w:val="00323E40"/>
    <w:rsid w:val="00325FE8"/>
    <w:rsid w:val="00336444"/>
    <w:rsid w:val="003440BC"/>
    <w:rsid w:val="00354DA8"/>
    <w:rsid w:val="00377ABB"/>
    <w:rsid w:val="00381702"/>
    <w:rsid w:val="00384DAA"/>
    <w:rsid w:val="003933BE"/>
    <w:rsid w:val="003C7BE2"/>
    <w:rsid w:val="003E0447"/>
    <w:rsid w:val="003F3C95"/>
    <w:rsid w:val="00421385"/>
    <w:rsid w:val="00423BE4"/>
    <w:rsid w:val="0044360D"/>
    <w:rsid w:val="00444B36"/>
    <w:rsid w:val="00446889"/>
    <w:rsid w:val="004476DE"/>
    <w:rsid w:val="00457E91"/>
    <w:rsid w:val="00460FAA"/>
    <w:rsid w:val="004638D4"/>
    <w:rsid w:val="00466589"/>
    <w:rsid w:val="004666C3"/>
    <w:rsid w:val="00474654"/>
    <w:rsid w:val="004757D4"/>
    <w:rsid w:val="00492985"/>
    <w:rsid w:val="004A60CC"/>
    <w:rsid w:val="004B076D"/>
    <w:rsid w:val="004E425F"/>
    <w:rsid w:val="004F5087"/>
    <w:rsid w:val="004F74E8"/>
    <w:rsid w:val="004F7D7A"/>
    <w:rsid w:val="0050403C"/>
    <w:rsid w:val="00524325"/>
    <w:rsid w:val="00537E8B"/>
    <w:rsid w:val="00545EB0"/>
    <w:rsid w:val="00570CDD"/>
    <w:rsid w:val="00590F01"/>
    <w:rsid w:val="00597D30"/>
    <w:rsid w:val="005A27FB"/>
    <w:rsid w:val="005A6EA2"/>
    <w:rsid w:val="005A71DF"/>
    <w:rsid w:val="005B02AA"/>
    <w:rsid w:val="005D71AC"/>
    <w:rsid w:val="005E169A"/>
    <w:rsid w:val="005F17B1"/>
    <w:rsid w:val="00610E79"/>
    <w:rsid w:val="00627F83"/>
    <w:rsid w:val="0065099C"/>
    <w:rsid w:val="00655163"/>
    <w:rsid w:val="00655DF1"/>
    <w:rsid w:val="00670ED2"/>
    <w:rsid w:val="006763DB"/>
    <w:rsid w:val="00681696"/>
    <w:rsid w:val="00686E2C"/>
    <w:rsid w:val="00691C2F"/>
    <w:rsid w:val="006A0F30"/>
    <w:rsid w:val="006B1E87"/>
    <w:rsid w:val="006B7514"/>
    <w:rsid w:val="006D62C9"/>
    <w:rsid w:val="006F23A4"/>
    <w:rsid w:val="00733C7E"/>
    <w:rsid w:val="00736C21"/>
    <w:rsid w:val="00780479"/>
    <w:rsid w:val="007806D7"/>
    <w:rsid w:val="00790378"/>
    <w:rsid w:val="00791661"/>
    <w:rsid w:val="007A39CB"/>
    <w:rsid w:val="007A4940"/>
    <w:rsid w:val="007F49BA"/>
    <w:rsid w:val="007F7A79"/>
    <w:rsid w:val="00827678"/>
    <w:rsid w:val="00844106"/>
    <w:rsid w:val="00886124"/>
    <w:rsid w:val="00895181"/>
    <w:rsid w:val="00897686"/>
    <w:rsid w:val="008A19EF"/>
    <w:rsid w:val="008A6B28"/>
    <w:rsid w:val="008D060E"/>
    <w:rsid w:val="008D5522"/>
    <w:rsid w:val="008D77E2"/>
    <w:rsid w:val="008E400B"/>
    <w:rsid w:val="008F5829"/>
    <w:rsid w:val="009035FA"/>
    <w:rsid w:val="00905E64"/>
    <w:rsid w:val="00906D3C"/>
    <w:rsid w:val="00913891"/>
    <w:rsid w:val="00932B96"/>
    <w:rsid w:val="00951A1D"/>
    <w:rsid w:val="009522EE"/>
    <w:rsid w:val="00956FE6"/>
    <w:rsid w:val="00960DA0"/>
    <w:rsid w:val="0096318D"/>
    <w:rsid w:val="00966D6B"/>
    <w:rsid w:val="00967ADF"/>
    <w:rsid w:val="009B51A0"/>
    <w:rsid w:val="009C0B87"/>
    <w:rsid w:val="009D090C"/>
    <w:rsid w:val="009E2757"/>
    <w:rsid w:val="009F43A1"/>
    <w:rsid w:val="00A0068F"/>
    <w:rsid w:val="00A02712"/>
    <w:rsid w:val="00A118C4"/>
    <w:rsid w:val="00A179D1"/>
    <w:rsid w:val="00A44C87"/>
    <w:rsid w:val="00A46D34"/>
    <w:rsid w:val="00A51365"/>
    <w:rsid w:val="00A53484"/>
    <w:rsid w:val="00A81634"/>
    <w:rsid w:val="00A911DC"/>
    <w:rsid w:val="00AF06A0"/>
    <w:rsid w:val="00AF6987"/>
    <w:rsid w:val="00B0487D"/>
    <w:rsid w:val="00B21E83"/>
    <w:rsid w:val="00B23517"/>
    <w:rsid w:val="00B364ED"/>
    <w:rsid w:val="00B51651"/>
    <w:rsid w:val="00B63461"/>
    <w:rsid w:val="00B81334"/>
    <w:rsid w:val="00B93656"/>
    <w:rsid w:val="00B94261"/>
    <w:rsid w:val="00BB6D7A"/>
    <w:rsid w:val="00BC025B"/>
    <w:rsid w:val="00BC16AF"/>
    <w:rsid w:val="00BD12C4"/>
    <w:rsid w:val="00BD1F6D"/>
    <w:rsid w:val="00BD6DD7"/>
    <w:rsid w:val="00BF0247"/>
    <w:rsid w:val="00C02175"/>
    <w:rsid w:val="00C13499"/>
    <w:rsid w:val="00C30E84"/>
    <w:rsid w:val="00C32D96"/>
    <w:rsid w:val="00C44260"/>
    <w:rsid w:val="00C53E60"/>
    <w:rsid w:val="00C62485"/>
    <w:rsid w:val="00C62AC5"/>
    <w:rsid w:val="00C732C0"/>
    <w:rsid w:val="00C7692E"/>
    <w:rsid w:val="00C86F79"/>
    <w:rsid w:val="00CF2E06"/>
    <w:rsid w:val="00CF6C90"/>
    <w:rsid w:val="00D00201"/>
    <w:rsid w:val="00D06441"/>
    <w:rsid w:val="00D072E8"/>
    <w:rsid w:val="00D41B8B"/>
    <w:rsid w:val="00D42DF8"/>
    <w:rsid w:val="00D445D5"/>
    <w:rsid w:val="00D55520"/>
    <w:rsid w:val="00D57A3D"/>
    <w:rsid w:val="00D60000"/>
    <w:rsid w:val="00D801F6"/>
    <w:rsid w:val="00D90F4B"/>
    <w:rsid w:val="00D96261"/>
    <w:rsid w:val="00D968B1"/>
    <w:rsid w:val="00DA0F26"/>
    <w:rsid w:val="00DA7A15"/>
    <w:rsid w:val="00DB3980"/>
    <w:rsid w:val="00DC4471"/>
    <w:rsid w:val="00DE1E49"/>
    <w:rsid w:val="00DF2F8E"/>
    <w:rsid w:val="00E0084F"/>
    <w:rsid w:val="00E1677C"/>
    <w:rsid w:val="00E20874"/>
    <w:rsid w:val="00E345F6"/>
    <w:rsid w:val="00E63FB0"/>
    <w:rsid w:val="00E71679"/>
    <w:rsid w:val="00E73186"/>
    <w:rsid w:val="00E80A72"/>
    <w:rsid w:val="00EA1031"/>
    <w:rsid w:val="00EA1584"/>
    <w:rsid w:val="00EA6F96"/>
    <w:rsid w:val="00EB1508"/>
    <w:rsid w:val="00EC7563"/>
    <w:rsid w:val="00ED7659"/>
    <w:rsid w:val="00EE465C"/>
    <w:rsid w:val="00EF5C18"/>
    <w:rsid w:val="00EF7350"/>
    <w:rsid w:val="00F028E9"/>
    <w:rsid w:val="00F10DA3"/>
    <w:rsid w:val="00F31375"/>
    <w:rsid w:val="00F51695"/>
    <w:rsid w:val="00F57DE7"/>
    <w:rsid w:val="00F8023F"/>
    <w:rsid w:val="00FA0988"/>
    <w:rsid w:val="00FC1904"/>
    <w:rsid w:val="00FC6D38"/>
    <w:rsid w:val="00FD46DE"/>
    <w:rsid w:val="00FD64D1"/>
    <w:rsid w:val="00FD7EE2"/>
    <w:rsid w:val="00FF02F3"/>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50B7722"/>
  <w15:docId w15:val="{C181D7D0-BD27-4AAC-8893-11ACAD215C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240" w:after="0"/>
      <w:outlineLvl w:val="0"/>
    </w:pPr>
    <w:rPr>
      <w:rFonts w:ascii="Calibri Light" w:eastAsia="Calibri Light" w:hAnsi="Calibri Light" w:cs="Calibri Light"/>
      <w:color w:val="2E74B5" w:themeColor="accent1" w:themeShade="BF"/>
      <w:sz w:val="32"/>
      <w:szCs w:val="32"/>
    </w:rPr>
  </w:style>
  <w:style w:type="paragraph" w:styleId="Heading2">
    <w:name w:val="heading 2"/>
    <w:basedOn w:val="Normal"/>
    <w:next w:val="Normal"/>
    <w:link w:val="Heading2Char"/>
    <w:uiPriority w:val="9"/>
    <w:unhideWhenUsed/>
    <w:qFormat/>
    <w:pPr>
      <w:keepNext/>
      <w:keepLines/>
      <w:spacing w:before="360" w:after="200"/>
      <w:outlineLvl w:val="1"/>
    </w:pPr>
    <w:rPr>
      <w:rFonts w:ascii="Arial" w:eastAsia="Arial" w:hAnsi="Arial" w:cs="Arial"/>
      <w:sz w:val="34"/>
    </w:rPr>
  </w:style>
  <w:style w:type="paragraph" w:styleId="Heading3">
    <w:name w:val="heading 3"/>
    <w:basedOn w:val="Normal"/>
    <w:next w:val="Normal"/>
    <w:link w:val="Heading3Char"/>
    <w:uiPriority w:val="9"/>
    <w:unhideWhenUsed/>
    <w:qFormat/>
    <w:pPr>
      <w:keepNext/>
      <w:keepLines/>
      <w:spacing w:before="320" w:after="200"/>
      <w:outlineLvl w:val="2"/>
    </w:pPr>
    <w:rPr>
      <w:rFonts w:ascii="Arial" w:eastAsia="Arial" w:hAnsi="Arial" w:cs="Arial"/>
      <w:sz w:val="30"/>
      <w:szCs w:val="30"/>
    </w:rPr>
  </w:style>
  <w:style w:type="paragraph" w:styleId="Heading4">
    <w:name w:val="heading 4"/>
    <w:basedOn w:val="Normal"/>
    <w:next w:val="Normal"/>
    <w:link w:val="Heading4Char"/>
    <w:uiPriority w:val="9"/>
    <w:unhideWhenUsed/>
    <w:qFormat/>
    <w:pPr>
      <w:keepNext/>
      <w:keepLines/>
      <w:spacing w:before="320" w:after="200"/>
      <w:outlineLvl w:val="3"/>
    </w:pPr>
    <w:rPr>
      <w:rFonts w:ascii="Arial" w:eastAsia="Arial" w:hAnsi="Arial" w:cs="Arial"/>
      <w:b/>
      <w:bCs/>
      <w:sz w:val="26"/>
      <w:szCs w:val="26"/>
    </w:rPr>
  </w:style>
  <w:style w:type="paragraph" w:styleId="Heading5">
    <w:name w:val="heading 5"/>
    <w:basedOn w:val="Normal"/>
    <w:next w:val="Normal"/>
    <w:link w:val="Heading5Char"/>
    <w:uiPriority w:val="9"/>
    <w:unhideWhenUsed/>
    <w:qFormat/>
    <w:pPr>
      <w:keepNext/>
      <w:keepLines/>
      <w:spacing w:before="320" w:after="200"/>
      <w:outlineLvl w:val="4"/>
    </w:pPr>
    <w:rPr>
      <w:rFonts w:ascii="Arial" w:eastAsia="Arial" w:hAnsi="Arial" w:cs="Arial"/>
      <w:b/>
      <w:bCs/>
      <w:sz w:val="24"/>
      <w:szCs w:val="24"/>
    </w:rPr>
  </w:style>
  <w:style w:type="paragraph" w:styleId="Heading6">
    <w:name w:val="heading 6"/>
    <w:basedOn w:val="Normal"/>
    <w:next w:val="Normal"/>
    <w:link w:val="Heading6Char"/>
    <w:uiPriority w:val="9"/>
    <w:unhideWhenUsed/>
    <w:qFormat/>
    <w:pPr>
      <w:keepNext/>
      <w:keepLines/>
      <w:spacing w:before="320" w:after="200"/>
      <w:outlineLvl w:val="5"/>
    </w:pPr>
    <w:rPr>
      <w:rFonts w:ascii="Arial" w:eastAsia="Arial" w:hAnsi="Arial" w:cs="Arial"/>
      <w:b/>
      <w:bCs/>
    </w:rPr>
  </w:style>
  <w:style w:type="paragraph" w:styleId="Heading7">
    <w:name w:val="heading 7"/>
    <w:basedOn w:val="Normal"/>
    <w:next w:val="Normal"/>
    <w:link w:val="Heading7Char"/>
    <w:uiPriority w:val="9"/>
    <w:unhideWhenUsed/>
    <w:qFormat/>
    <w:pPr>
      <w:keepNext/>
      <w:keepLines/>
      <w:spacing w:before="320" w:after="200"/>
      <w:outlineLvl w:val="6"/>
    </w:pPr>
    <w:rPr>
      <w:rFonts w:ascii="Arial" w:eastAsia="Arial" w:hAnsi="Arial" w:cs="Arial"/>
      <w:b/>
      <w:bCs/>
      <w:i/>
      <w:iCs/>
    </w:rPr>
  </w:style>
  <w:style w:type="paragraph" w:styleId="Heading8">
    <w:name w:val="heading 8"/>
    <w:basedOn w:val="Normal"/>
    <w:next w:val="Normal"/>
    <w:link w:val="Heading8Char"/>
    <w:uiPriority w:val="9"/>
    <w:unhideWhenUsed/>
    <w:qFormat/>
    <w:pPr>
      <w:keepNext/>
      <w:keepLines/>
      <w:spacing w:before="320" w:after="200"/>
      <w:outlineLvl w:val="7"/>
    </w:pPr>
    <w:rPr>
      <w:rFonts w:ascii="Arial" w:eastAsia="Arial" w:hAnsi="Arial" w:cs="Arial"/>
      <w:i/>
      <w:iCs/>
    </w:rPr>
  </w:style>
  <w:style w:type="paragraph" w:styleId="Heading9">
    <w:name w:val="heading 9"/>
    <w:basedOn w:val="Normal"/>
    <w:next w:val="Normal"/>
    <w:link w:val="Heading9Char"/>
    <w:uiPriority w:val="9"/>
    <w:unhideWhenUsed/>
    <w:qFormat/>
    <w:pPr>
      <w:keepNext/>
      <w:keepLines/>
      <w:spacing w:before="320" w:after="200"/>
      <w:outlineLvl w:val="8"/>
    </w:pPr>
    <w:rPr>
      <w:rFonts w:ascii="Arial" w:eastAsia="Arial" w:hAnsi="Arial" w:cs="Arial"/>
      <w:i/>
      <w:iCs/>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Light">
    <w:name w:val="Grid Table Light"/>
    <w:basedOn w:val="Table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styleId="GridTable1Light-Accent1">
    <w:name w:val="Grid Table 1 Light Accent 1"/>
    <w:basedOn w:val="TableNormal"/>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styleId="GridTable1Light-Accent2">
    <w:name w:val="Grid Table 1 Light Accent 2"/>
    <w:basedOn w:val="Table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styleId="GridTable1Light-Accent3">
    <w:name w:val="Grid Table 1 Light Accent 3"/>
    <w:basedOn w:val="Table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styleId="GridTable1Light-Accent4">
    <w:name w:val="Grid Table 1 Light Accent 4"/>
    <w:basedOn w:val="Table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styleId="GridTable1Light-Accent5">
    <w:name w:val="Grid Table 1 Light Accent 5"/>
    <w:basedOn w:val="TableNormal"/>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styleId="GridTable1Light-Accent6">
    <w:name w:val="Grid Table 1 Light Accent 6"/>
    <w:basedOn w:val="Table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styleId="GridTable2-Accent1">
    <w:name w:val="Grid Table 2 Accent 1"/>
    <w:basedOn w:val="TableNormal"/>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FFFFFF"/>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fill="DDEAF6" w:themeFill="accent1" w:themeFillTint="34"/>
      </w:tcPr>
    </w:tblStylePr>
    <w:tblStylePr w:type="band1Horz">
      <w:rPr>
        <w:rFonts w:ascii="Arial" w:hAnsi="Arial"/>
        <w:color w:val="404040"/>
        <w:sz w:val="22"/>
      </w:rPr>
      <w:tblPr/>
      <w:tcPr>
        <w:shd w:val="clear" w:color="DDEAF6" w:fill="DDEAF6" w:themeFill="accent1" w:themeFillTint="34"/>
      </w:tcPr>
    </w:tblStylePr>
  </w:style>
  <w:style w:type="table" w:styleId="GridTable2-Accent2">
    <w:name w:val="Grid Table 2 Accent 2"/>
    <w:basedOn w:val="Table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Pr/>
      <w:tcPr>
        <w:shd w:val="clear" w:color="FBE5D6" w:fill="FBE5D6" w:themeFill="accent2" w:themeFillTint="32"/>
      </w:tcPr>
    </w:tblStylePr>
  </w:style>
  <w:style w:type="table" w:styleId="GridTable2-Accent3">
    <w:name w:val="Grid Table 2 Accent 3"/>
    <w:basedOn w:val="Table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Pr/>
      <w:tcPr>
        <w:shd w:val="clear" w:color="ECECEC" w:fill="ECECEC" w:themeFill="accent3" w:themeFillTint="34"/>
      </w:tcPr>
    </w:tblStylePr>
  </w:style>
  <w:style w:type="table" w:styleId="GridTable2-Accent4">
    <w:name w:val="Grid Table 2 Accent 4"/>
    <w:basedOn w:val="Table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Pr/>
      <w:tcPr>
        <w:shd w:val="clear" w:color="FFF2CB" w:fill="FFF2CB" w:themeFill="accent4" w:themeFillTint="34"/>
      </w:tcPr>
    </w:tblStylePr>
  </w:style>
  <w:style w:type="table" w:styleId="GridTable2-Accent5">
    <w:name w:val="Grid Table 2 Accent 5"/>
    <w:basedOn w:val="TableNormal"/>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FFFFFF"/>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fill="D8E2F3" w:themeFill="accent5" w:themeFillTint="34"/>
      </w:tcPr>
    </w:tblStylePr>
    <w:tblStylePr w:type="band1Horz">
      <w:rPr>
        <w:rFonts w:ascii="Arial" w:hAnsi="Arial"/>
        <w:color w:val="404040"/>
        <w:sz w:val="22"/>
      </w:rPr>
      <w:tblPr/>
      <w:tcPr>
        <w:shd w:val="clear" w:color="D8E2F3" w:fill="D8E2F3" w:themeFill="accent5" w:themeFillTint="34"/>
      </w:tcPr>
    </w:tblStylePr>
  </w:style>
  <w:style w:type="table" w:styleId="GridTable2-Accent6">
    <w:name w:val="Grid Table 2 Accent 6"/>
    <w:basedOn w:val="Table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Pr/>
      <w:tcPr>
        <w:shd w:val="clear" w:color="E1EFD8" w:fill="E1EFD8" w:themeFill="accent6" w:themeFillTint="34"/>
      </w:tcPr>
    </w:tblStylePr>
  </w:style>
  <w:style w:type="table" w:styleId="GridTable3-Accent1">
    <w:name w:val="Grid Table 3 Accent 1"/>
    <w:basedOn w:val="TableNormal"/>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DDEAF6" w:fill="DDEAF6" w:themeFill="accent1" w:themeFillTint="34"/>
      </w:tcPr>
    </w:tblStylePr>
    <w:tblStylePr w:type="band1Horz">
      <w:rPr>
        <w:rFonts w:ascii="Arial" w:hAnsi="Arial"/>
        <w:color w:val="404040"/>
        <w:sz w:val="22"/>
      </w:rPr>
      <w:tblPr/>
      <w:tcPr>
        <w:shd w:val="clear" w:color="DDEAF6" w:fill="DDEAF6" w:themeFill="accent1" w:themeFillTint="34"/>
      </w:tcPr>
    </w:tblStylePr>
  </w:style>
  <w:style w:type="table" w:styleId="GridTable3-Accent2">
    <w:name w:val="Grid Table 3 Accent 2"/>
    <w:basedOn w:val="Table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Pr/>
      <w:tcPr>
        <w:shd w:val="clear" w:color="FBE5D6" w:fill="FBE5D6" w:themeFill="accent2" w:themeFillTint="32"/>
      </w:tcPr>
    </w:tblStylePr>
  </w:style>
  <w:style w:type="table" w:styleId="GridTable3-Accent3">
    <w:name w:val="Grid Table 3 Accent 3"/>
    <w:basedOn w:val="Table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Pr/>
      <w:tcPr>
        <w:shd w:val="clear" w:color="ECECEC" w:fill="ECECEC" w:themeFill="accent3" w:themeFillTint="34"/>
      </w:tcPr>
    </w:tblStylePr>
  </w:style>
  <w:style w:type="table" w:styleId="GridTable3-Accent4">
    <w:name w:val="Grid Table 3 Accent 4"/>
    <w:basedOn w:val="Table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Pr/>
      <w:tcPr>
        <w:shd w:val="clear" w:color="FFF2CB" w:fill="FFF2CB" w:themeFill="accent4" w:themeFillTint="34"/>
      </w:tcPr>
    </w:tblStylePr>
  </w:style>
  <w:style w:type="table" w:styleId="GridTable3-Accent5">
    <w:name w:val="Grid Table 3 Accent 5"/>
    <w:basedOn w:val="TableNormal"/>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D8E2F3" w:fill="D8E2F3" w:themeFill="accent5" w:themeFillTint="34"/>
      </w:tcPr>
    </w:tblStylePr>
    <w:tblStylePr w:type="band1Horz">
      <w:rPr>
        <w:rFonts w:ascii="Arial" w:hAnsi="Arial"/>
        <w:color w:val="404040"/>
        <w:sz w:val="22"/>
      </w:rPr>
      <w:tblPr/>
      <w:tcPr>
        <w:shd w:val="clear" w:color="D8E2F3" w:fill="D8E2F3" w:themeFill="accent5" w:themeFillTint="34"/>
      </w:tcPr>
    </w:tblStylePr>
  </w:style>
  <w:style w:type="table" w:styleId="GridTable3-Accent6">
    <w:name w:val="Grid Table 3 Accent 6"/>
    <w:basedOn w:val="Table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Pr/>
      <w:tcPr>
        <w:shd w:val="clear" w:color="E1EFD8" w:fill="E1EFD8" w:themeFill="accent6" w:themeFillTint="34"/>
      </w:tcPr>
    </w:tblStylePr>
  </w:style>
  <w:style w:type="table" w:styleId="GridTable4-Accent1">
    <w:name w:val="Grid Table 4 Accent 1"/>
    <w:basedOn w:val="TableNormal"/>
    <w:uiPriority w:val="5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fill="DEEBF6" w:themeFill="accent1" w:themeFillTint="32"/>
      </w:tcPr>
    </w:tblStylePr>
    <w:tblStylePr w:type="band1Horz">
      <w:rPr>
        <w:rFonts w:ascii="Arial" w:hAnsi="Arial"/>
        <w:color w:val="404040"/>
        <w:sz w:val="22"/>
      </w:rPr>
      <w:tblPr/>
      <w:tcPr>
        <w:shd w:val="clear" w:color="DEEBF6" w:fill="DEEBF6" w:themeFill="accent1" w:themeFillTint="32"/>
      </w:tcPr>
    </w:tblStylePr>
  </w:style>
  <w:style w:type="table" w:styleId="GridTable4-Accent2">
    <w:name w:val="Grid Table 4 Accent 2"/>
    <w:basedOn w:val="TableNormal"/>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Pr/>
      <w:tcPr>
        <w:shd w:val="clear" w:color="FBE5D6" w:fill="FBE5D6" w:themeFill="accent2" w:themeFillTint="32"/>
      </w:tcPr>
    </w:tblStylePr>
  </w:style>
  <w:style w:type="table" w:styleId="GridTable4-Accent3">
    <w:name w:val="Grid Table 4 Accent 3"/>
    <w:basedOn w:val="TableNormal"/>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Pr/>
      <w:tcPr>
        <w:shd w:val="clear" w:color="ECECEC" w:fill="ECECEC" w:themeFill="accent3" w:themeFillTint="34"/>
      </w:tcPr>
    </w:tblStylePr>
  </w:style>
  <w:style w:type="table" w:styleId="GridTable4-Accent4">
    <w:name w:val="Grid Table 4 Accent 4"/>
    <w:basedOn w:val="TableNormal"/>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Pr/>
      <w:tcPr>
        <w:shd w:val="clear" w:color="FFF2CB" w:fill="FFF2CB" w:themeFill="accent4" w:themeFillTint="34"/>
      </w:tcPr>
    </w:tblStylePr>
  </w:style>
  <w:style w:type="table" w:styleId="GridTable4-Accent5">
    <w:name w:val="Grid Table 4 Accent 5"/>
    <w:basedOn w:val="TableNormal"/>
    <w:uiPriority w:val="5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fill="D8E2F3" w:themeFill="accent5" w:themeFillTint="34"/>
      </w:tcPr>
    </w:tblStylePr>
    <w:tblStylePr w:type="band1Horz">
      <w:rPr>
        <w:rFonts w:ascii="Arial" w:hAnsi="Arial"/>
        <w:color w:val="404040"/>
        <w:sz w:val="22"/>
      </w:rPr>
      <w:tblPr/>
      <w:tcPr>
        <w:shd w:val="clear" w:color="D8E2F3" w:fill="D8E2F3" w:themeFill="accent5" w:themeFillTint="34"/>
      </w:tcPr>
    </w:tblStylePr>
  </w:style>
  <w:style w:type="table" w:styleId="GridTable4-Accent6">
    <w:name w:val="Grid Table 4 Accent 6"/>
    <w:basedOn w:val="TableNormal"/>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Pr/>
      <w:tcPr>
        <w:shd w:val="clear" w:color="E1EFD8" w:fill="E1EFD8" w:themeFill="accent6" w:themeFillTint="34"/>
      </w:tcPr>
    </w:tblStylePr>
  </w:style>
  <w:style w:type="table" w:styleId="GridTable5Dark-Accent2">
    <w:name w:val="Grid Table 5 Dark Accent 2"/>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fill="FBE5D6" w:themeFill="accent2" w:themeFillTint="32"/>
    </w:tblPr>
    <w:tblStylePr w:type="firstRow">
      <w:rPr>
        <w:rFonts w:ascii="Arial" w:hAnsi="Arial"/>
        <w:b/>
        <w:color w:val="FFFFFF"/>
        <w:sz w:val="22"/>
      </w:rPr>
      <w:tblPr/>
      <w:tcPr>
        <w:shd w:val="clear" w:color="ED7D31" w:fill="ED7D31" w:themeFill="accent2"/>
      </w:tcPr>
    </w:tblStylePr>
    <w:tblStylePr w:type="lastRow">
      <w:rPr>
        <w:rFonts w:ascii="Arial" w:hAnsi="Arial"/>
        <w:b/>
        <w:color w:val="FFFFFF"/>
        <w:sz w:val="22"/>
      </w:rPr>
      <w:tblPr/>
      <w:tcPr>
        <w:tcBorders>
          <w:top w:val="single" w:sz="4" w:space="0" w:color="FFFFFF" w:themeColor="light1"/>
        </w:tcBorders>
        <w:shd w:val="clear" w:color="ED7D31" w:fill="ED7D31" w:themeFill="accent2"/>
      </w:tcPr>
    </w:tblStylePr>
    <w:tblStylePr w:type="firstCol">
      <w:rPr>
        <w:rFonts w:ascii="Arial" w:hAnsi="Arial"/>
        <w:b/>
        <w:color w:val="FFFFFF"/>
        <w:sz w:val="22"/>
      </w:rPr>
      <w:tblPr/>
      <w:tcPr>
        <w:shd w:val="clear" w:color="ED7D31" w:fill="ED7D31" w:themeFill="accent2"/>
      </w:tcPr>
    </w:tblStylePr>
    <w:tblStylePr w:type="lastCol">
      <w:rPr>
        <w:rFonts w:ascii="Arial" w:hAnsi="Arial"/>
        <w:b/>
        <w:color w:val="FFFFFF"/>
        <w:sz w:val="22"/>
      </w:rPr>
      <w:tblPr/>
      <w:tcPr>
        <w:shd w:val="clear" w:color="ED7D31" w:fill="ED7D31" w:themeFill="accent2"/>
      </w:tcPr>
    </w:tblStylePr>
    <w:tblStylePr w:type="band1Vert">
      <w:tblPr/>
      <w:tcPr>
        <w:shd w:val="clear" w:color="F6C3A0" w:fill="F6C3A0" w:themeFill="accent2" w:themeFillTint="75"/>
      </w:tcPr>
    </w:tblStylePr>
    <w:tblStylePr w:type="band1Horz">
      <w:tblPr/>
      <w:tcPr>
        <w:shd w:val="clear" w:color="F6C3A0" w:fill="F6C3A0" w:themeFill="accent2" w:themeFillTint="75"/>
      </w:tcPr>
    </w:tblStylePr>
  </w:style>
  <w:style w:type="table" w:styleId="GridTable5Dark-Accent3">
    <w:name w:val="Grid Table 5 Dark Accent 3"/>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fill="ECECEC" w:themeFill="accent3" w:themeFillTint="34"/>
    </w:tblPr>
    <w:tblStylePr w:type="firstRow">
      <w:rPr>
        <w:rFonts w:ascii="Arial" w:hAnsi="Arial"/>
        <w:b/>
        <w:color w:val="FFFFFF"/>
        <w:sz w:val="22"/>
      </w:rPr>
      <w:tblPr/>
      <w:tcPr>
        <w:shd w:val="clear" w:color="A5A5A5" w:fill="A5A5A5" w:themeFill="accent3"/>
      </w:tcPr>
    </w:tblStylePr>
    <w:tblStylePr w:type="lastRow">
      <w:rPr>
        <w:rFonts w:ascii="Arial" w:hAnsi="Arial"/>
        <w:b/>
        <w:color w:val="FFFFFF"/>
        <w:sz w:val="22"/>
      </w:rPr>
      <w:tblPr/>
      <w:tcPr>
        <w:tcBorders>
          <w:top w:val="single" w:sz="4" w:space="0" w:color="FFFFFF" w:themeColor="light1"/>
        </w:tcBorders>
        <w:shd w:val="clear" w:color="A5A5A5" w:fill="A5A5A5" w:themeFill="accent3"/>
      </w:tcPr>
    </w:tblStylePr>
    <w:tblStylePr w:type="firstCol">
      <w:rPr>
        <w:rFonts w:ascii="Arial" w:hAnsi="Arial"/>
        <w:b/>
        <w:color w:val="FFFFFF"/>
        <w:sz w:val="22"/>
      </w:rPr>
      <w:tblPr/>
      <w:tcPr>
        <w:shd w:val="clear" w:color="A5A5A5" w:fill="A5A5A5" w:themeFill="accent3"/>
      </w:tcPr>
    </w:tblStylePr>
    <w:tblStylePr w:type="lastCol">
      <w:rPr>
        <w:rFonts w:ascii="Arial" w:hAnsi="Arial"/>
        <w:b/>
        <w:color w:val="FFFFFF"/>
        <w:sz w:val="22"/>
      </w:rPr>
      <w:tblPr/>
      <w:tcPr>
        <w:shd w:val="clear" w:color="A5A5A5" w:fill="A5A5A5" w:themeFill="accent3"/>
      </w:tcPr>
    </w:tblStylePr>
    <w:tblStylePr w:type="band1Vert">
      <w:tblPr/>
      <w:tcPr>
        <w:shd w:val="clear" w:color="D5D5D5" w:fill="D5D5D5" w:themeFill="accent3" w:themeFillTint="75"/>
      </w:tcPr>
    </w:tblStylePr>
    <w:tblStylePr w:type="band1Horz">
      <w:tblPr/>
      <w:tcPr>
        <w:shd w:val="clear" w:color="D5D5D5" w:fill="D5D5D5" w:themeFill="accent3" w:themeFillTint="75"/>
      </w:tcPr>
    </w:tblStylePr>
  </w:style>
  <w:style w:type="table" w:styleId="GridTable5Dark-Accent5">
    <w:name w:val="Grid Table 5 Dark Accent 5"/>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fill="D8E2F3" w:themeFill="accent5" w:themeFillTint="34"/>
    </w:tblPr>
    <w:tblStylePr w:type="firstRow">
      <w:rPr>
        <w:rFonts w:ascii="Arial" w:hAnsi="Arial"/>
        <w:b/>
        <w:color w:val="FFFFFF"/>
        <w:sz w:val="22"/>
      </w:rPr>
      <w:tblPr/>
      <w:tcPr>
        <w:shd w:val="clear" w:color="4472C4" w:fill="4472C4" w:themeFill="accent5"/>
      </w:tcPr>
    </w:tblStylePr>
    <w:tblStylePr w:type="lastRow">
      <w:rPr>
        <w:rFonts w:ascii="Arial" w:hAnsi="Arial"/>
        <w:b/>
        <w:color w:val="FFFFFF"/>
        <w:sz w:val="22"/>
      </w:rPr>
      <w:tblPr/>
      <w:tcPr>
        <w:tcBorders>
          <w:top w:val="single" w:sz="4" w:space="0" w:color="FFFFFF" w:themeColor="light1"/>
        </w:tcBorders>
        <w:shd w:val="clear" w:color="4472C4" w:fill="4472C4" w:themeFill="accent5"/>
      </w:tcPr>
    </w:tblStylePr>
    <w:tblStylePr w:type="firstCol">
      <w:rPr>
        <w:rFonts w:ascii="Arial" w:hAnsi="Arial"/>
        <w:b/>
        <w:color w:val="FFFFFF"/>
        <w:sz w:val="22"/>
      </w:rPr>
      <w:tblPr/>
      <w:tcPr>
        <w:shd w:val="clear" w:color="4472C4" w:fill="4472C4" w:themeFill="accent5"/>
      </w:tcPr>
    </w:tblStylePr>
    <w:tblStylePr w:type="lastCol">
      <w:rPr>
        <w:rFonts w:ascii="Arial" w:hAnsi="Arial"/>
        <w:b/>
        <w:color w:val="FFFFFF"/>
        <w:sz w:val="22"/>
      </w:rPr>
      <w:tblPr/>
      <w:tcPr>
        <w:shd w:val="clear" w:color="4472C4" w:fill="4472C4" w:themeFill="accent5"/>
      </w:tcPr>
    </w:tblStylePr>
    <w:tblStylePr w:type="band1Vert">
      <w:tblPr/>
      <w:tcPr>
        <w:shd w:val="clear" w:color="A9BEE4" w:fill="A9BEE4" w:themeFill="accent5" w:themeFillTint="75"/>
      </w:tcPr>
    </w:tblStylePr>
    <w:tblStylePr w:type="band1Horz">
      <w:tblPr/>
      <w:tcPr>
        <w:shd w:val="clear" w:color="A9BEE4" w:fill="A9BEE4" w:themeFill="accent5" w:themeFillTint="75"/>
      </w:tcPr>
    </w:tblStylePr>
  </w:style>
  <w:style w:type="table" w:styleId="GridTable5Dark-Accent6">
    <w:name w:val="Grid Table 5 Dark Accent 6"/>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fill="E1EFD8" w:themeFill="accent6" w:themeFillTint="34"/>
    </w:tblPr>
    <w:tblStylePr w:type="firstRow">
      <w:rPr>
        <w:rFonts w:ascii="Arial" w:hAnsi="Arial"/>
        <w:b/>
        <w:color w:val="FFFFFF"/>
        <w:sz w:val="22"/>
      </w:rPr>
      <w:tblPr/>
      <w:tcPr>
        <w:shd w:val="clear" w:color="70AD47" w:fill="70AD47" w:themeFill="accent6"/>
      </w:tcPr>
    </w:tblStylePr>
    <w:tblStylePr w:type="lastRow">
      <w:rPr>
        <w:rFonts w:ascii="Arial" w:hAnsi="Arial"/>
        <w:b/>
        <w:color w:val="FFFFFF"/>
        <w:sz w:val="22"/>
      </w:rPr>
      <w:tblPr/>
      <w:tcPr>
        <w:tcBorders>
          <w:top w:val="single" w:sz="4" w:space="0" w:color="FFFFFF" w:themeColor="light1"/>
        </w:tcBorders>
        <w:shd w:val="clear" w:color="70AD47" w:fill="70AD47" w:themeFill="accent6"/>
      </w:tcPr>
    </w:tblStylePr>
    <w:tblStylePr w:type="firstCol">
      <w:rPr>
        <w:rFonts w:ascii="Arial" w:hAnsi="Arial"/>
        <w:b/>
        <w:color w:val="FFFFFF"/>
        <w:sz w:val="22"/>
      </w:rPr>
      <w:tblPr/>
      <w:tcPr>
        <w:shd w:val="clear" w:color="70AD47" w:fill="70AD47" w:themeFill="accent6"/>
      </w:tcPr>
    </w:tblStylePr>
    <w:tblStylePr w:type="lastCol">
      <w:rPr>
        <w:rFonts w:ascii="Arial" w:hAnsi="Arial"/>
        <w:b/>
        <w:color w:val="FFFFFF"/>
        <w:sz w:val="22"/>
      </w:rPr>
      <w:tblPr/>
      <w:tcPr>
        <w:shd w:val="clear" w:color="70AD47" w:fill="70AD47" w:themeFill="accent6"/>
      </w:tcPr>
    </w:tblStylePr>
    <w:tblStylePr w:type="band1Vert">
      <w:tblPr/>
      <w:tcPr>
        <w:shd w:val="clear" w:color="BCDBA8" w:fill="BCDBA8" w:themeFill="accent6" w:themeFillTint="75"/>
      </w:tcPr>
    </w:tblStylePr>
    <w:tblStylePr w:type="band1Horz">
      <w:tblPr/>
      <w:tcPr>
        <w:shd w:val="clear" w:color="BCDBA8" w:fill="BCDBA8" w:themeFill="accent6" w:themeFillTint="75"/>
      </w:tcPr>
    </w:tblStylePr>
  </w:style>
  <w:style w:type="table" w:styleId="GridTable6Colorful-Accent1">
    <w:name w:val="Grid Table 6 Colorful Accent 1"/>
    <w:basedOn w:val="TableNormal"/>
    <w:uiPriority w:val="99"/>
    <w:pPr>
      <w:spacing w:after="0" w:line="240" w:lineRule="auto"/>
    </w:pPr>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fill="DDEAF6" w:themeFill="accent1" w:themeFillTint="34"/>
      </w:tcPr>
    </w:tblStylePr>
    <w:tblStylePr w:type="band1Horz">
      <w:rPr>
        <w:rFonts w:ascii="Arial" w:hAnsi="Arial"/>
        <w:color w:val="ACCCEA" w:themeColor="accent1" w:themeTint="80" w:themeShade="95"/>
        <w:sz w:val="22"/>
      </w:rPr>
      <w:tblPr/>
      <w:tcPr>
        <w:shd w:val="clear" w:color="DDEAF6" w:fill="DDEAF6" w:themeFill="accent1" w:themeFillTint="34"/>
      </w:tcPr>
    </w:tblStylePr>
    <w:tblStylePr w:type="band2Horz">
      <w:rPr>
        <w:rFonts w:ascii="Arial" w:hAnsi="Arial"/>
        <w:color w:val="ACCCEA" w:themeColor="accent1" w:themeTint="80" w:themeShade="95"/>
        <w:sz w:val="22"/>
      </w:rPr>
    </w:tblStylePr>
  </w:style>
  <w:style w:type="table" w:styleId="GridTable6Colorful-Accent2">
    <w:name w:val="Grid Table 6 Colorful Accent 2"/>
    <w:basedOn w:val="Table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fill="FBE5D6" w:themeFill="accent2" w:themeFillTint="32"/>
      </w:tcPr>
    </w:tblStylePr>
    <w:tblStylePr w:type="band1Horz">
      <w:rPr>
        <w:rFonts w:ascii="Arial" w:hAnsi="Arial"/>
        <w:color w:val="F4B184" w:themeColor="accent2" w:themeTint="97" w:themeShade="95"/>
        <w:sz w:val="22"/>
      </w:rPr>
      <w:tblPr/>
      <w:tcPr>
        <w:shd w:val="clear" w:color="FBE5D6" w:fill="FBE5D6" w:themeFill="accent2" w:themeFillTint="32"/>
      </w:tcPr>
    </w:tblStylePr>
    <w:tblStylePr w:type="band2Horz">
      <w:rPr>
        <w:rFonts w:ascii="Arial" w:hAnsi="Arial"/>
        <w:color w:val="F4B184" w:themeColor="accent2" w:themeTint="97" w:themeShade="95"/>
        <w:sz w:val="22"/>
      </w:rPr>
    </w:tblStylePr>
  </w:style>
  <w:style w:type="table" w:styleId="GridTable6Colorful-Accent3">
    <w:name w:val="Grid Table 6 Colorful Accent 3"/>
    <w:basedOn w:val="TableNormal"/>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fill="ECECEC" w:themeFill="accent3" w:themeFillTint="34"/>
      </w:tcPr>
    </w:tblStylePr>
    <w:tblStylePr w:type="band1Horz">
      <w:rPr>
        <w:rFonts w:ascii="Arial" w:hAnsi="Arial"/>
        <w:color w:val="A5A5A5" w:themeColor="accent3" w:themeTint="FE" w:themeShade="95"/>
        <w:sz w:val="22"/>
      </w:rPr>
      <w:tblPr/>
      <w:tcPr>
        <w:shd w:val="clear" w:color="ECECEC" w:fill="ECECEC" w:themeFill="accent3" w:themeFillTint="34"/>
      </w:tcPr>
    </w:tblStylePr>
    <w:tblStylePr w:type="band2Horz">
      <w:rPr>
        <w:rFonts w:ascii="Arial" w:hAnsi="Arial"/>
        <w:color w:val="A5A5A5" w:themeColor="accent3" w:themeTint="FE" w:themeShade="95"/>
        <w:sz w:val="22"/>
      </w:rPr>
    </w:tblStylePr>
  </w:style>
  <w:style w:type="table" w:styleId="GridTable6Colorful-Accent4">
    <w:name w:val="Grid Table 6 Colorful Accent 4"/>
    <w:basedOn w:val="Table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fill="FFF2CB" w:themeFill="accent4" w:themeFillTint="34"/>
      </w:tcPr>
    </w:tblStylePr>
    <w:tblStylePr w:type="band1Horz">
      <w:rPr>
        <w:rFonts w:ascii="Arial" w:hAnsi="Arial"/>
        <w:color w:val="FFD865" w:themeColor="accent4" w:themeTint="9A" w:themeShade="95"/>
        <w:sz w:val="22"/>
      </w:rPr>
      <w:tblPr/>
      <w:tcPr>
        <w:shd w:val="clear" w:color="FFF2CB" w:fill="FFF2CB" w:themeFill="accent4" w:themeFillTint="34"/>
      </w:tcPr>
    </w:tblStylePr>
    <w:tblStylePr w:type="band2Horz">
      <w:rPr>
        <w:rFonts w:ascii="Arial" w:hAnsi="Arial"/>
        <w:color w:val="FFD865" w:themeColor="accent4" w:themeTint="9A" w:themeShade="95"/>
        <w:sz w:val="22"/>
      </w:rPr>
    </w:tblStylePr>
  </w:style>
  <w:style w:type="table" w:styleId="GridTable6Colorful-Accent5">
    <w:name w:val="Grid Table 6 Colorful Accent 5"/>
    <w:basedOn w:val="TableNormal"/>
    <w:uiPriority w:val="99"/>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fill="D8E2F3" w:themeFill="accent5" w:themeFillTint="34"/>
      </w:tcPr>
    </w:tblStylePr>
    <w:tblStylePr w:type="band1Horz">
      <w:rPr>
        <w:rFonts w:ascii="Arial" w:hAnsi="Arial"/>
        <w:color w:val="254175" w:themeColor="accent5" w:themeShade="95"/>
        <w:sz w:val="22"/>
      </w:rPr>
      <w:tblPr/>
      <w:tcPr>
        <w:shd w:val="clear" w:color="D8E2F3" w:fill="D8E2F3" w:themeFill="accent5" w:themeFillTint="34"/>
      </w:tcPr>
    </w:tblStylePr>
    <w:tblStylePr w:type="band2Horz">
      <w:rPr>
        <w:rFonts w:ascii="Arial" w:hAnsi="Arial"/>
        <w:color w:val="254175" w:themeColor="accent5" w:themeShade="95"/>
        <w:sz w:val="22"/>
      </w:rPr>
    </w:tblStylePr>
  </w:style>
  <w:style w:type="table" w:styleId="GridTable6Colorful-Accent6">
    <w:name w:val="Grid Table 6 Colorful Accent 6"/>
    <w:basedOn w:val="TableNormal"/>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fill="E1EFD8" w:themeFill="accent6" w:themeFillTint="34"/>
      </w:tcPr>
    </w:tblStylePr>
    <w:tblStylePr w:type="band1Horz">
      <w:rPr>
        <w:rFonts w:ascii="Arial" w:hAnsi="Arial"/>
        <w:color w:val="254175" w:themeColor="accent5" w:themeShade="95"/>
        <w:sz w:val="22"/>
      </w:rPr>
      <w:tblPr/>
      <w:tcPr>
        <w:shd w:val="clear" w:color="E1EFD8" w:fill="E1EFD8" w:themeFill="accent6" w:themeFillTint="34"/>
      </w:tcPr>
    </w:tblStylePr>
    <w:tblStylePr w:type="band2Horz">
      <w:rPr>
        <w:rFonts w:ascii="Arial" w:hAnsi="Arial"/>
        <w:color w:val="254175" w:themeColor="accent5" w:themeShade="95"/>
        <w:sz w:val="22"/>
      </w:rPr>
    </w:tblStylePr>
  </w:style>
  <w:style w:type="table" w:styleId="GridTable7Colorful-Accent1">
    <w:name w:val="Grid Table 7 Colorful Accent 1"/>
    <w:basedOn w:val="TableNormal"/>
    <w:uiPriority w:val="99"/>
    <w:pPr>
      <w:spacing w:after="0" w:line="240" w:lineRule="auto"/>
    </w:pPr>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FFFFFF"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FFFFFF" w:fill="FFFFFF"/>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FFFFFF" w:fill="FFFFFF"/>
      </w:tcPr>
    </w:tblStylePr>
    <w:tblStylePr w:type="band1Vert">
      <w:tblPr/>
      <w:tcPr>
        <w:shd w:val="clear" w:color="DDEAF6" w:fill="DDEAF6" w:themeFill="accent1" w:themeFillTint="34"/>
      </w:tcPr>
    </w:tblStylePr>
    <w:tblStylePr w:type="band1Horz">
      <w:rPr>
        <w:rFonts w:ascii="Arial" w:hAnsi="Arial"/>
        <w:color w:val="ACCCEA" w:themeColor="accent1" w:themeTint="80" w:themeShade="95"/>
        <w:sz w:val="22"/>
      </w:rPr>
      <w:tblPr/>
      <w:tcPr>
        <w:shd w:val="clear" w:color="DDEAF6" w:fill="DDEAF6" w:themeFill="accent1" w:themeFillTint="34"/>
      </w:tcPr>
    </w:tblStylePr>
    <w:tblStylePr w:type="band2Horz">
      <w:rPr>
        <w:rFonts w:ascii="Arial" w:hAnsi="Arial"/>
        <w:color w:val="ACCCEA" w:themeColor="accent1" w:themeTint="80" w:themeShade="95"/>
        <w:sz w:val="22"/>
      </w:rPr>
    </w:tblStylePr>
  </w:style>
  <w:style w:type="table" w:styleId="GridTable7Colorful-Accent2">
    <w:name w:val="Grid Table 7 Colorful Accent 2"/>
    <w:basedOn w:val="TableNormal"/>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FFFFFF"/>
      </w:tcPr>
    </w:tblStylePr>
    <w:tblStylePr w:type="band1Vert">
      <w:tblPr/>
      <w:tcPr>
        <w:shd w:val="clear" w:color="FBE5D6" w:fill="FBE5D6" w:themeFill="accent2" w:themeFillTint="32"/>
      </w:tcPr>
    </w:tblStylePr>
    <w:tblStylePr w:type="band1Horz">
      <w:rPr>
        <w:rFonts w:ascii="Arial" w:hAnsi="Arial"/>
        <w:color w:val="F4B184" w:themeColor="accent2" w:themeTint="97" w:themeShade="95"/>
        <w:sz w:val="22"/>
      </w:rPr>
      <w:tblPr/>
      <w:tcPr>
        <w:shd w:val="clear" w:color="FBE5D6" w:fill="FBE5D6" w:themeFill="accent2" w:themeFillTint="32"/>
      </w:tcPr>
    </w:tblStylePr>
    <w:tblStylePr w:type="band2Horz">
      <w:rPr>
        <w:rFonts w:ascii="Arial" w:hAnsi="Arial"/>
        <w:color w:val="F4B184" w:themeColor="accent2" w:themeTint="97" w:themeShade="95"/>
        <w:sz w:val="22"/>
      </w:rPr>
    </w:tblStylePr>
  </w:style>
  <w:style w:type="table" w:styleId="GridTable7Colorful-Accent3">
    <w:name w:val="Grid Table 7 Colorful Accent 3"/>
    <w:basedOn w:val="TableNormal"/>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FFFFFF"/>
      </w:tcPr>
    </w:tblStylePr>
    <w:tblStylePr w:type="band1Vert">
      <w:tblPr/>
      <w:tcPr>
        <w:shd w:val="clear" w:color="ECECEC" w:fill="ECECEC" w:themeFill="accent3" w:themeFillTint="34"/>
      </w:tcPr>
    </w:tblStylePr>
    <w:tblStylePr w:type="band1Horz">
      <w:rPr>
        <w:rFonts w:ascii="Arial" w:hAnsi="Arial"/>
        <w:color w:val="A5A5A5" w:themeColor="accent3" w:themeTint="FE" w:themeShade="95"/>
        <w:sz w:val="22"/>
      </w:rPr>
      <w:tblPr/>
      <w:tcPr>
        <w:shd w:val="clear" w:color="ECECEC" w:fill="ECECEC" w:themeFill="accent3" w:themeFillTint="34"/>
      </w:tcPr>
    </w:tblStylePr>
    <w:tblStylePr w:type="band2Horz">
      <w:rPr>
        <w:rFonts w:ascii="Arial" w:hAnsi="Arial"/>
        <w:color w:val="A5A5A5" w:themeColor="accent3" w:themeTint="FE" w:themeShade="95"/>
        <w:sz w:val="22"/>
      </w:rPr>
    </w:tblStylePr>
  </w:style>
  <w:style w:type="table" w:styleId="GridTable7Colorful-Accent4">
    <w:name w:val="Grid Table 7 Colorful Accent 4"/>
    <w:basedOn w:val="TableNormal"/>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FFFFFF"/>
      </w:tcPr>
    </w:tblStylePr>
    <w:tblStylePr w:type="band1Vert">
      <w:tblPr/>
      <w:tcPr>
        <w:shd w:val="clear" w:color="FFF2CB" w:fill="FFF2CB" w:themeFill="accent4" w:themeFillTint="34"/>
      </w:tcPr>
    </w:tblStylePr>
    <w:tblStylePr w:type="band1Horz">
      <w:rPr>
        <w:rFonts w:ascii="Arial" w:hAnsi="Arial"/>
        <w:color w:val="FFD865" w:themeColor="accent4" w:themeTint="9A" w:themeShade="95"/>
        <w:sz w:val="22"/>
      </w:rPr>
      <w:tblPr/>
      <w:tcPr>
        <w:shd w:val="clear" w:color="FFF2CB" w:fill="FFF2CB" w:themeFill="accent4" w:themeFillTint="34"/>
      </w:tcPr>
    </w:tblStylePr>
    <w:tblStylePr w:type="band2Horz">
      <w:rPr>
        <w:rFonts w:ascii="Arial" w:hAnsi="Arial"/>
        <w:color w:val="FFD865" w:themeColor="accent4" w:themeTint="9A" w:themeShade="95"/>
        <w:sz w:val="22"/>
      </w:rPr>
    </w:tblStylePr>
  </w:style>
  <w:style w:type="table" w:styleId="GridTable7Colorful-Accent5">
    <w:name w:val="Grid Table 7 Colorful Accent 5"/>
    <w:basedOn w:val="TableNormal"/>
    <w:uiPriority w:val="99"/>
    <w:pPr>
      <w:spacing w:after="0" w:line="240" w:lineRule="auto"/>
    </w:pPr>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FFFFFF"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FFFFFF" w:fill="FFFFFF"/>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FFFFFF" w:fill="FFFFFF"/>
      </w:tcPr>
    </w:tblStylePr>
    <w:tblStylePr w:type="band1Vert">
      <w:tblPr/>
      <w:tcPr>
        <w:shd w:val="clear" w:color="D8E2F3" w:fill="D8E2F3" w:themeFill="accent5" w:themeFillTint="34"/>
      </w:tcPr>
    </w:tblStylePr>
    <w:tblStylePr w:type="band1Horz">
      <w:rPr>
        <w:rFonts w:ascii="Arial" w:hAnsi="Arial"/>
        <w:color w:val="254175" w:themeColor="accent5" w:themeShade="95"/>
        <w:sz w:val="22"/>
      </w:rPr>
      <w:tblPr/>
      <w:tcPr>
        <w:shd w:val="clear" w:color="D8E2F3" w:fill="D8E2F3" w:themeFill="accent5" w:themeFillTint="34"/>
      </w:tcPr>
    </w:tblStylePr>
    <w:tblStylePr w:type="band2Horz">
      <w:rPr>
        <w:rFonts w:ascii="Arial" w:hAnsi="Arial"/>
        <w:color w:val="254175" w:themeColor="accent5" w:themeShade="95"/>
        <w:sz w:val="22"/>
      </w:rPr>
    </w:tblStylePr>
  </w:style>
  <w:style w:type="table" w:styleId="GridTable7Colorful-Accent6">
    <w:name w:val="Grid Table 7 Colorful Accent 6"/>
    <w:basedOn w:val="TableNormal"/>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FFFFFF"/>
      </w:tcPr>
    </w:tblStylePr>
    <w:tblStylePr w:type="band1Vert">
      <w:tblPr/>
      <w:tcPr>
        <w:shd w:val="clear" w:color="E1EFD8" w:fill="E1EFD8" w:themeFill="accent6" w:themeFillTint="34"/>
      </w:tcPr>
    </w:tblStylePr>
    <w:tblStylePr w:type="band1Horz">
      <w:rPr>
        <w:rFonts w:ascii="Arial" w:hAnsi="Arial"/>
        <w:color w:val="416429" w:themeColor="accent6" w:themeShade="95"/>
        <w:sz w:val="22"/>
      </w:rPr>
      <w:tblPr/>
      <w:tcPr>
        <w:shd w:val="clear" w:color="E1EFD8" w:fill="E1EFD8" w:themeFill="accent6" w:themeFillTint="34"/>
      </w:tcPr>
    </w:tblStylePr>
    <w:tblStylePr w:type="band2Horz">
      <w:rPr>
        <w:rFonts w:ascii="Arial" w:hAnsi="Arial"/>
        <w:color w:val="416429" w:themeColor="accent6" w:themeShade="95"/>
        <w:sz w:val="22"/>
      </w:rPr>
    </w:tblStylePr>
  </w:style>
  <w:style w:type="table" w:styleId="ListTable1Light-Accent1">
    <w:name w:val="List Table 1 Light Accent 1"/>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fill="D5E5F4" w:themeFill="accent1" w:themeFillTint="40"/>
      </w:tcPr>
    </w:tblStylePr>
    <w:tblStylePr w:type="band1Horz">
      <w:tblPr/>
      <w:tcPr>
        <w:shd w:val="clear" w:color="D5E5F4" w:fill="D5E5F4" w:themeFill="accent1" w:themeFillTint="40"/>
      </w:tcPr>
    </w:tblStylePr>
  </w:style>
  <w:style w:type="table" w:styleId="ListTable1Light-Accent2">
    <w:name w:val="List Table 1 Light Accent 2"/>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fill="FADECB" w:themeFill="accent2" w:themeFillTint="40"/>
      </w:tcPr>
    </w:tblStylePr>
    <w:tblStylePr w:type="band1Horz">
      <w:tblPr/>
      <w:tcPr>
        <w:shd w:val="clear" w:color="FADECB" w:fill="FADECB" w:themeFill="accent2" w:themeFillTint="40"/>
      </w:tcPr>
    </w:tblStylePr>
  </w:style>
  <w:style w:type="table" w:styleId="ListTable1Light-Accent3">
    <w:name w:val="List Table 1 Light Accent 3"/>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fill="E8E8E8" w:themeFill="accent3" w:themeFillTint="40"/>
      </w:tcPr>
    </w:tblStylePr>
    <w:tblStylePr w:type="band1Horz">
      <w:tblPr/>
      <w:tcPr>
        <w:shd w:val="clear" w:color="E8E8E8" w:fill="E8E8E8" w:themeFill="accent3" w:themeFillTint="40"/>
      </w:tcPr>
    </w:tblStylePr>
  </w:style>
  <w:style w:type="table" w:styleId="ListTable1Light-Accent4">
    <w:name w:val="List Table 1 Light Accent 4"/>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fill="FFEFBF" w:themeFill="accent4" w:themeFillTint="40"/>
      </w:tcPr>
    </w:tblStylePr>
    <w:tblStylePr w:type="band1Horz">
      <w:tblPr/>
      <w:tcPr>
        <w:shd w:val="clear" w:color="FFEFBF" w:fill="FFEFBF" w:themeFill="accent4" w:themeFillTint="40"/>
      </w:tcPr>
    </w:tblStylePr>
  </w:style>
  <w:style w:type="table" w:styleId="ListTable1Light-Accent5">
    <w:name w:val="List Table 1 Light Accent 5"/>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fill="CFDBF0" w:themeFill="accent5" w:themeFillTint="40"/>
      </w:tcPr>
    </w:tblStylePr>
    <w:tblStylePr w:type="band1Horz">
      <w:tblPr/>
      <w:tcPr>
        <w:shd w:val="clear" w:color="CFDBF0" w:fill="CFDBF0" w:themeFill="accent5" w:themeFillTint="40"/>
      </w:tcPr>
    </w:tblStylePr>
  </w:style>
  <w:style w:type="table" w:styleId="ListTable1Light-Accent6">
    <w:name w:val="List Table 1 Light Accent 6"/>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fill="DAEBCF" w:themeFill="accent6" w:themeFillTint="40"/>
      </w:tcPr>
    </w:tblStylePr>
    <w:tblStylePr w:type="band1Horz">
      <w:tblPr/>
      <w:tcPr>
        <w:shd w:val="clear" w:color="DAEBCF" w:fill="DAEBCF" w:themeFill="accent6" w:themeFillTint="40"/>
      </w:tcPr>
    </w:tblStylePr>
  </w:style>
  <w:style w:type="table" w:styleId="ListTable2-Accent1">
    <w:name w:val="List Table 2 Accent 1"/>
    <w:basedOn w:val="TableNormal"/>
    <w:uiPriority w:val="99"/>
    <w:pPr>
      <w:spacing w:after="0" w:line="240" w:lineRule="auto"/>
    </w:pPr>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fill="D5E5F4" w:themeFill="accent1" w:themeFillTint="40"/>
      </w:tcPr>
    </w:tblStylePr>
    <w:tblStylePr w:type="band1Horz">
      <w:rPr>
        <w:rFonts w:ascii="Arial" w:hAnsi="Arial"/>
        <w:color w:val="404040"/>
        <w:sz w:val="22"/>
      </w:rPr>
      <w:tblPr/>
      <w:tcPr>
        <w:shd w:val="clear" w:color="D5E5F4" w:fill="D5E5F4" w:themeFill="accent1" w:themeFillTint="40"/>
      </w:tcPr>
    </w:tblStylePr>
  </w:style>
  <w:style w:type="table" w:styleId="ListTable2-Accent2">
    <w:name w:val="List Table 2 Accent 2"/>
    <w:basedOn w:val="TableNormal"/>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fill="FADECB" w:themeFill="accent2" w:themeFillTint="40"/>
      </w:tcPr>
    </w:tblStylePr>
    <w:tblStylePr w:type="band1Horz">
      <w:rPr>
        <w:rFonts w:ascii="Arial" w:hAnsi="Arial"/>
        <w:color w:val="404040"/>
        <w:sz w:val="22"/>
      </w:rPr>
      <w:tblPr/>
      <w:tcPr>
        <w:shd w:val="clear" w:color="FADECB" w:fill="FADECB" w:themeFill="accent2" w:themeFillTint="40"/>
      </w:tcPr>
    </w:tblStylePr>
  </w:style>
  <w:style w:type="table" w:styleId="ListTable2-Accent3">
    <w:name w:val="List Table 2 Accent 3"/>
    <w:basedOn w:val="TableNormal"/>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fill="E8E8E8" w:themeFill="accent3" w:themeFillTint="40"/>
      </w:tcPr>
    </w:tblStylePr>
    <w:tblStylePr w:type="band1Horz">
      <w:rPr>
        <w:rFonts w:ascii="Arial" w:hAnsi="Arial"/>
        <w:color w:val="404040"/>
        <w:sz w:val="22"/>
      </w:rPr>
      <w:tblPr/>
      <w:tcPr>
        <w:shd w:val="clear" w:color="E8E8E8" w:fill="E8E8E8" w:themeFill="accent3" w:themeFillTint="40"/>
      </w:tcPr>
    </w:tblStylePr>
  </w:style>
  <w:style w:type="table" w:styleId="ListTable2-Accent4">
    <w:name w:val="List Table 2 Accent 4"/>
    <w:basedOn w:val="TableNormal"/>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fill="FFEFBF" w:themeFill="accent4" w:themeFillTint="40"/>
      </w:tcPr>
    </w:tblStylePr>
    <w:tblStylePr w:type="band1Horz">
      <w:rPr>
        <w:rFonts w:ascii="Arial" w:hAnsi="Arial"/>
        <w:color w:val="404040"/>
        <w:sz w:val="22"/>
      </w:rPr>
      <w:tblPr/>
      <w:tcPr>
        <w:shd w:val="clear" w:color="FFEFBF" w:fill="FFEFBF" w:themeFill="accent4" w:themeFillTint="40"/>
      </w:tcPr>
    </w:tblStylePr>
  </w:style>
  <w:style w:type="table" w:styleId="ListTable2-Accent5">
    <w:name w:val="List Table 2 Accent 5"/>
    <w:basedOn w:val="TableNormal"/>
    <w:uiPriority w:val="99"/>
    <w:pPr>
      <w:spacing w:after="0" w:line="240" w:lineRule="auto"/>
    </w:pPr>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fill="CFDBF0" w:themeFill="accent5" w:themeFillTint="40"/>
      </w:tcPr>
    </w:tblStylePr>
    <w:tblStylePr w:type="band1Horz">
      <w:rPr>
        <w:rFonts w:ascii="Arial" w:hAnsi="Arial"/>
        <w:color w:val="404040"/>
        <w:sz w:val="22"/>
      </w:rPr>
      <w:tblPr/>
      <w:tcPr>
        <w:shd w:val="clear" w:color="CFDBF0" w:fill="CFDBF0" w:themeFill="accent5" w:themeFillTint="40"/>
      </w:tcPr>
    </w:tblStylePr>
  </w:style>
  <w:style w:type="table" w:styleId="ListTable2-Accent6">
    <w:name w:val="List Table 2 Accent 6"/>
    <w:basedOn w:val="TableNormal"/>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fill="DAEBCF" w:themeFill="accent6" w:themeFillTint="40"/>
      </w:tcPr>
    </w:tblStylePr>
    <w:tblStylePr w:type="band1Horz">
      <w:rPr>
        <w:rFonts w:ascii="Arial" w:hAnsi="Arial"/>
        <w:color w:val="404040"/>
        <w:sz w:val="22"/>
      </w:rPr>
      <w:tblPr/>
      <w:tcPr>
        <w:shd w:val="clear" w:color="DAEBCF" w:fill="DAEBCF" w:themeFill="accent6" w:themeFillTint="40"/>
      </w:tcPr>
    </w:tblStylePr>
  </w:style>
  <w:style w:type="table" w:styleId="ListTable3-Accent1">
    <w:name w:val="List Table 3 Accent 1"/>
    <w:basedOn w:val="TableNormal"/>
    <w:uiPriority w:val="99"/>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styleId="ListTable3-Accent2">
    <w:name w:val="List Table 3 Accent 2"/>
    <w:basedOn w:val="Table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styleId="ListTable3-Accent3">
    <w:name w:val="List Table 3 Accent 3"/>
    <w:basedOn w:val="TableNormal"/>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styleId="ListTable3-Accent4">
    <w:name w:val="List Table 3 Accent 4"/>
    <w:basedOn w:val="Table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styleId="ListTable3-Accent5">
    <w:name w:val="List Table 3 Accent 5"/>
    <w:basedOn w:val="TableNormal"/>
    <w:uiPriority w:val="99"/>
    <w:pPr>
      <w:spacing w:after="0" w:line="240" w:lineRule="auto"/>
    </w:pPr>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styleId="ListTable3-Accent6">
    <w:name w:val="List Table 3 Accent 6"/>
    <w:basedOn w:val="TableNormal"/>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styleId="ListTable4-Accent1">
    <w:name w:val="List Table 4 Accent 1"/>
    <w:basedOn w:val="TableNormal"/>
    <w:uiPriority w:val="9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fill="D5E5F4" w:themeFill="accent1" w:themeFillTint="40"/>
      </w:tcPr>
    </w:tblStylePr>
    <w:tblStylePr w:type="band1Horz">
      <w:rPr>
        <w:rFonts w:ascii="Arial" w:hAnsi="Arial"/>
        <w:color w:val="404040"/>
        <w:sz w:val="22"/>
      </w:rPr>
      <w:tblPr/>
      <w:tcPr>
        <w:shd w:val="clear" w:color="D5E5F4" w:fill="D5E5F4" w:themeFill="accent1" w:themeFillTint="40"/>
      </w:tcPr>
    </w:tblStylePr>
  </w:style>
  <w:style w:type="table" w:styleId="ListTable4-Accent2">
    <w:name w:val="List Table 4 Accent 2"/>
    <w:basedOn w:val="TableNormal"/>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fill="FADECB" w:themeFill="accent2" w:themeFillTint="40"/>
      </w:tcPr>
    </w:tblStylePr>
    <w:tblStylePr w:type="band1Horz">
      <w:rPr>
        <w:rFonts w:ascii="Arial" w:hAnsi="Arial"/>
        <w:color w:val="404040"/>
        <w:sz w:val="22"/>
      </w:rPr>
      <w:tblPr/>
      <w:tcPr>
        <w:shd w:val="clear" w:color="FADECB" w:fill="FADECB" w:themeFill="accent2" w:themeFillTint="40"/>
      </w:tcPr>
    </w:tblStylePr>
  </w:style>
  <w:style w:type="table" w:styleId="ListTable4-Accent3">
    <w:name w:val="List Table 4 Accent 3"/>
    <w:basedOn w:val="TableNormal"/>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fill="E8E8E8" w:themeFill="accent3" w:themeFillTint="40"/>
      </w:tcPr>
    </w:tblStylePr>
    <w:tblStylePr w:type="band1Horz">
      <w:rPr>
        <w:rFonts w:ascii="Arial" w:hAnsi="Arial"/>
        <w:color w:val="404040"/>
        <w:sz w:val="22"/>
      </w:rPr>
      <w:tblPr/>
      <w:tcPr>
        <w:shd w:val="clear" w:color="E8E8E8" w:fill="E8E8E8" w:themeFill="accent3" w:themeFillTint="40"/>
      </w:tcPr>
    </w:tblStylePr>
  </w:style>
  <w:style w:type="table" w:styleId="ListTable4-Accent4">
    <w:name w:val="List Table 4 Accent 4"/>
    <w:basedOn w:val="TableNormal"/>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fill="FFEFBF" w:themeFill="accent4" w:themeFillTint="40"/>
      </w:tcPr>
    </w:tblStylePr>
    <w:tblStylePr w:type="band1Horz">
      <w:rPr>
        <w:rFonts w:ascii="Arial" w:hAnsi="Arial"/>
        <w:color w:val="404040"/>
        <w:sz w:val="22"/>
      </w:rPr>
      <w:tblPr/>
      <w:tcPr>
        <w:shd w:val="clear" w:color="FFEFBF" w:fill="FFEFBF" w:themeFill="accent4" w:themeFillTint="40"/>
      </w:tcPr>
    </w:tblStylePr>
  </w:style>
  <w:style w:type="table" w:styleId="ListTable4-Accent5">
    <w:name w:val="List Table 4 Accent 5"/>
    <w:basedOn w:val="TableNormal"/>
    <w:uiPriority w:val="9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fill="CFDBF0" w:themeFill="accent5" w:themeFillTint="40"/>
      </w:tcPr>
    </w:tblStylePr>
    <w:tblStylePr w:type="band1Horz">
      <w:rPr>
        <w:rFonts w:ascii="Arial" w:hAnsi="Arial"/>
        <w:color w:val="404040"/>
        <w:sz w:val="22"/>
      </w:rPr>
      <w:tblPr/>
      <w:tcPr>
        <w:shd w:val="clear" w:color="CFDBF0" w:fill="CFDBF0" w:themeFill="accent5" w:themeFillTint="40"/>
      </w:tcPr>
    </w:tblStylePr>
  </w:style>
  <w:style w:type="table" w:styleId="ListTable4-Accent6">
    <w:name w:val="List Table 4 Accent 6"/>
    <w:basedOn w:val="TableNormal"/>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fill="DAEBCF" w:themeFill="accent6" w:themeFillTint="40"/>
      </w:tcPr>
    </w:tblStylePr>
    <w:tblStylePr w:type="band1Horz">
      <w:rPr>
        <w:rFonts w:ascii="Arial" w:hAnsi="Arial"/>
        <w:color w:val="404040"/>
        <w:sz w:val="22"/>
      </w:rPr>
      <w:tblPr/>
      <w:tcPr>
        <w:shd w:val="clear" w:color="DAEBCF" w:fill="DAEBCF" w:themeFill="accent6" w:themeFillTint="40"/>
      </w:tcPr>
    </w:tblStylePr>
  </w:style>
  <w:style w:type="table" w:styleId="ListTable5Dark-Accent1">
    <w:name w:val="List Table 5 Dark Accent 1"/>
    <w:basedOn w:val="TableNormal"/>
    <w:uiPriority w:val="99"/>
    <w:pPr>
      <w:spacing w:after="0" w:line="240" w:lineRule="auto"/>
    </w:pPr>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fill="5B9BD5" w:themeFill="accent1"/>
      </w:tcPr>
    </w:tblStylePr>
    <w:tblStylePr w:type="band2Horz">
      <w:tblPr/>
      <w:tcPr>
        <w:tcBorders>
          <w:top w:val="single" w:sz="4" w:space="0" w:color="FFFFFF" w:themeColor="light1"/>
          <w:bottom w:val="single" w:sz="4" w:space="0" w:color="FFFFFF" w:themeColor="light1"/>
        </w:tcBorders>
        <w:shd w:val="clear" w:color="5B9BD5" w:fill="5B9BD5" w:themeFill="accent1"/>
      </w:tcPr>
    </w:tblStylePr>
  </w:style>
  <w:style w:type="table" w:styleId="ListTable5Dark-Accent2">
    <w:name w:val="List Table 5 Dark Accent 2"/>
    <w:basedOn w:val="TableNormal"/>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fill="F4B184" w:themeFill="accent2" w:themeFillTint="97"/>
      </w:tcPr>
    </w:tblStylePr>
  </w:style>
  <w:style w:type="table" w:styleId="ListTable5Dark-Accent3">
    <w:name w:val="List Table 5 Dark Accent 3"/>
    <w:basedOn w:val="TableNormal"/>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fill="C9C9C9" w:themeFill="accent3" w:themeFillTint="98"/>
      </w:tcPr>
    </w:tblStylePr>
  </w:style>
  <w:style w:type="table" w:styleId="ListTable5Dark-Accent4">
    <w:name w:val="List Table 5 Dark Accent 4"/>
    <w:basedOn w:val="TableNormal"/>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fill="FFD865" w:themeFill="accent4" w:themeFillTint="9A"/>
      </w:tcPr>
    </w:tblStylePr>
  </w:style>
  <w:style w:type="table" w:styleId="ListTable5Dark-Accent5">
    <w:name w:val="List Table 5 Dark Accent 5"/>
    <w:basedOn w:val="TableNormal"/>
    <w:uiPriority w:val="99"/>
    <w:pPr>
      <w:spacing w:after="0" w:line="240" w:lineRule="auto"/>
    </w:pPr>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fill="8DA9DB" w:themeFill="accent5" w:themeFillTint="9A"/>
      </w:tcPr>
    </w:tblStylePr>
  </w:style>
  <w:style w:type="table" w:styleId="ListTable5Dark-Accent6">
    <w:name w:val="List Table 5 Dark Accent 6"/>
    <w:basedOn w:val="TableNormal"/>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fill="A9D08E" w:themeFill="accent6" w:themeFillTint="98"/>
      </w:tcPr>
    </w:tblStylePr>
  </w:style>
  <w:style w:type="table" w:styleId="ListTable6Colorful-Accent1">
    <w:name w:val="List Table 6 Colorful Accent 1"/>
    <w:basedOn w:val="TableNormal"/>
    <w:uiPriority w:val="99"/>
    <w:pPr>
      <w:spacing w:after="0" w:line="240" w:lineRule="auto"/>
    </w:pPr>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fill="D5E5F4" w:themeFill="accent1" w:themeFillTint="40"/>
      </w:tcPr>
    </w:tblStylePr>
    <w:tblStylePr w:type="band1Horz">
      <w:rPr>
        <w:rFonts w:ascii="Arial" w:hAnsi="Arial"/>
        <w:color w:val="245A8D" w:themeColor="accent1" w:themeShade="95"/>
        <w:sz w:val="22"/>
      </w:rPr>
      <w:tblPr/>
      <w:tcPr>
        <w:shd w:val="clear" w:color="D5E5F4" w:fill="D5E5F4" w:themeFill="accent1" w:themeFillTint="40"/>
      </w:tcPr>
    </w:tblStylePr>
    <w:tblStylePr w:type="band2Horz">
      <w:rPr>
        <w:rFonts w:ascii="Arial" w:hAnsi="Arial"/>
        <w:color w:val="245A8D" w:themeColor="accent1" w:themeShade="95"/>
        <w:sz w:val="22"/>
      </w:rPr>
    </w:tblStylePr>
  </w:style>
  <w:style w:type="table" w:styleId="ListTable6Colorful-Accent2">
    <w:name w:val="List Table 6 Colorful Accent 2"/>
    <w:basedOn w:val="TableNormal"/>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fill="FADECB" w:themeFill="accent2" w:themeFillTint="40"/>
      </w:tcPr>
    </w:tblStylePr>
    <w:tblStylePr w:type="band1Horz">
      <w:rPr>
        <w:rFonts w:ascii="Arial" w:hAnsi="Arial"/>
        <w:color w:val="F4B184" w:themeColor="accent2" w:themeTint="97" w:themeShade="95"/>
        <w:sz w:val="22"/>
      </w:rPr>
      <w:tblPr/>
      <w:tcPr>
        <w:shd w:val="clear" w:color="FADECB" w:fill="FADECB" w:themeFill="accent2" w:themeFillTint="40"/>
      </w:tcPr>
    </w:tblStylePr>
    <w:tblStylePr w:type="band2Horz">
      <w:rPr>
        <w:rFonts w:ascii="Arial" w:hAnsi="Arial"/>
        <w:color w:val="F4B184" w:themeColor="accent2" w:themeTint="97" w:themeShade="95"/>
        <w:sz w:val="22"/>
      </w:rPr>
    </w:tblStylePr>
  </w:style>
  <w:style w:type="table" w:styleId="ListTable6Colorful-Accent3">
    <w:name w:val="List Table 6 Colorful Accent 3"/>
    <w:basedOn w:val="TableNormal"/>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fill="E8E8E8" w:themeFill="accent3" w:themeFillTint="40"/>
      </w:tcPr>
    </w:tblStylePr>
    <w:tblStylePr w:type="band1Horz">
      <w:rPr>
        <w:rFonts w:ascii="Arial" w:hAnsi="Arial"/>
        <w:color w:val="C9C9C9" w:themeColor="accent3" w:themeTint="98" w:themeShade="95"/>
        <w:sz w:val="22"/>
      </w:rPr>
      <w:tblPr/>
      <w:tcPr>
        <w:shd w:val="clear" w:color="E8E8E8" w:fill="E8E8E8" w:themeFill="accent3" w:themeFillTint="40"/>
      </w:tcPr>
    </w:tblStylePr>
    <w:tblStylePr w:type="band2Horz">
      <w:rPr>
        <w:rFonts w:ascii="Arial" w:hAnsi="Arial"/>
        <w:color w:val="C9C9C9" w:themeColor="accent3" w:themeTint="98" w:themeShade="95"/>
        <w:sz w:val="22"/>
      </w:rPr>
    </w:tblStylePr>
  </w:style>
  <w:style w:type="table" w:styleId="ListTable6Colorful-Accent4">
    <w:name w:val="List Table 6 Colorful Accent 4"/>
    <w:basedOn w:val="TableNormal"/>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fill="FFEFBF" w:themeFill="accent4" w:themeFillTint="40"/>
      </w:tcPr>
    </w:tblStylePr>
    <w:tblStylePr w:type="band1Horz">
      <w:rPr>
        <w:rFonts w:ascii="Arial" w:hAnsi="Arial"/>
        <w:color w:val="FFD865" w:themeColor="accent4" w:themeTint="9A" w:themeShade="95"/>
        <w:sz w:val="22"/>
      </w:rPr>
      <w:tblPr/>
      <w:tcPr>
        <w:shd w:val="clear" w:color="FFEFBF" w:fill="FFEFBF" w:themeFill="accent4" w:themeFillTint="40"/>
      </w:tcPr>
    </w:tblStylePr>
    <w:tblStylePr w:type="band2Horz">
      <w:rPr>
        <w:rFonts w:ascii="Arial" w:hAnsi="Arial"/>
        <w:color w:val="FFD865" w:themeColor="accent4" w:themeTint="9A" w:themeShade="95"/>
        <w:sz w:val="22"/>
      </w:rPr>
    </w:tblStylePr>
  </w:style>
  <w:style w:type="table" w:styleId="ListTable6Colorful-Accent5">
    <w:name w:val="List Table 6 Colorful Accent 5"/>
    <w:basedOn w:val="TableNormal"/>
    <w:uiPriority w:val="99"/>
    <w:pPr>
      <w:spacing w:after="0" w:line="240" w:lineRule="auto"/>
    </w:pPr>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fill="CFDBF0" w:themeFill="accent5" w:themeFillTint="40"/>
      </w:tcPr>
    </w:tblStylePr>
    <w:tblStylePr w:type="band1Horz">
      <w:rPr>
        <w:rFonts w:ascii="Arial" w:hAnsi="Arial"/>
        <w:color w:val="8DA9DB" w:themeColor="accent5" w:themeTint="9A" w:themeShade="95"/>
        <w:sz w:val="22"/>
      </w:rPr>
      <w:tblPr/>
      <w:tcPr>
        <w:shd w:val="clear" w:color="CFDBF0" w:fill="CFDBF0" w:themeFill="accent5" w:themeFillTint="40"/>
      </w:tcPr>
    </w:tblStylePr>
    <w:tblStylePr w:type="band2Horz">
      <w:rPr>
        <w:rFonts w:ascii="Arial" w:hAnsi="Arial"/>
        <w:color w:val="8DA9DB" w:themeColor="accent5" w:themeTint="9A" w:themeShade="95"/>
        <w:sz w:val="22"/>
      </w:rPr>
    </w:tblStylePr>
  </w:style>
  <w:style w:type="table" w:styleId="ListTable6Colorful-Accent6">
    <w:name w:val="List Table 6 Colorful Accent 6"/>
    <w:basedOn w:val="TableNormal"/>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fill="DAEBCF" w:themeFill="accent6" w:themeFillTint="40"/>
      </w:tcPr>
    </w:tblStylePr>
    <w:tblStylePr w:type="band1Horz">
      <w:rPr>
        <w:rFonts w:ascii="Arial" w:hAnsi="Arial"/>
        <w:color w:val="A9D08E" w:themeColor="accent6" w:themeTint="98" w:themeShade="95"/>
        <w:sz w:val="22"/>
      </w:rPr>
      <w:tblPr/>
      <w:tcPr>
        <w:shd w:val="clear" w:color="DAEBCF" w:fill="DAEBCF" w:themeFill="accent6" w:themeFillTint="40"/>
      </w:tcPr>
    </w:tblStylePr>
    <w:tblStylePr w:type="band2Horz">
      <w:rPr>
        <w:rFonts w:ascii="Arial" w:hAnsi="Arial"/>
        <w:color w:val="A9D08E" w:themeColor="accent6" w:themeTint="98" w:themeShade="95"/>
        <w:sz w:val="22"/>
      </w:rPr>
    </w:tblStylePr>
  </w:style>
  <w:style w:type="table" w:styleId="ListTable7Colorful-Accent1">
    <w:name w:val="List Table 7 Colorful Accent 1"/>
    <w:basedOn w:val="TableNormal"/>
    <w:uiPriority w:val="99"/>
    <w:pPr>
      <w:spacing w:after="0" w:line="240" w:lineRule="auto"/>
    </w:pPr>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FFFFFF"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FFFFFF" w:fill="FFFFFF"/>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FFFFFF" w:fill="FFFFFF"/>
      </w:tcPr>
    </w:tblStylePr>
    <w:tblStylePr w:type="band1Vert">
      <w:tblPr/>
      <w:tcPr>
        <w:shd w:val="clear" w:color="D5E5F4" w:fill="D5E5F4" w:themeFill="accent1" w:themeFillTint="40"/>
      </w:tcPr>
    </w:tblStylePr>
    <w:tblStylePr w:type="band1Horz">
      <w:rPr>
        <w:rFonts w:ascii="Arial" w:hAnsi="Arial"/>
        <w:color w:val="245A8D" w:themeColor="accent1" w:themeShade="95"/>
        <w:sz w:val="22"/>
      </w:rPr>
      <w:tblPr/>
      <w:tcPr>
        <w:shd w:val="clear" w:color="D5E5F4" w:fill="D5E5F4" w:themeFill="accent1" w:themeFillTint="40"/>
      </w:tcPr>
    </w:tblStylePr>
    <w:tblStylePr w:type="band2Horz">
      <w:rPr>
        <w:rFonts w:ascii="Arial" w:hAnsi="Arial"/>
        <w:color w:val="245A8D" w:themeColor="accent1" w:themeShade="95"/>
        <w:sz w:val="22"/>
      </w:rPr>
    </w:tblStylePr>
  </w:style>
  <w:style w:type="table" w:styleId="ListTable7Colorful-Accent2">
    <w:name w:val="List Table 7 Colorful Accent 2"/>
    <w:basedOn w:val="TableNormal"/>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FFFFFF"/>
      </w:tcPr>
    </w:tblStylePr>
    <w:tblStylePr w:type="band1Vert">
      <w:tblPr/>
      <w:tcPr>
        <w:shd w:val="clear" w:color="FADECB" w:fill="FADECB" w:themeFill="accent2" w:themeFillTint="40"/>
      </w:tcPr>
    </w:tblStylePr>
    <w:tblStylePr w:type="band1Horz">
      <w:rPr>
        <w:rFonts w:ascii="Arial" w:hAnsi="Arial"/>
        <w:color w:val="F4B184" w:themeColor="accent2" w:themeTint="97" w:themeShade="95"/>
        <w:sz w:val="22"/>
      </w:rPr>
      <w:tblPr/>
      <w:tcPr>
        <w:shd w:val="clear" w:color="FADECB" w:fill="FADECB" w:themeFill="accent2" w:themeFillTint="40"/>
      </w:tcPr>
    </w:tblStylePr>
    <w:tblStylePr w:type="band2Horz">
      <w:rPr>
        <w:rFonts w:ascii="Arial" w:hAnsi="Arial"/>
        <w:color w:val="F4B184" w:themeColor="accent2" w:themeTint="97" w:themeShade="95"/>
        <w:sz w:val="22"/>
      </w:rPr>
    </w:tblStylePr>
  </w:style>
  <w:style w:type="table" w:styleId="ListTable7Colorful-Accent3">
    <w:name w:val="List Table 7 Colorful Accent 3"/>
    <w:basedOn w:val="TableNormal"/>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FFFFFF"/>
      </w:tcPr>
    </w:tblStylePr>
    <w:tblStylePr w:type="band1Vert">
      <w:tblPr/>
      <w:tcPr>
        <w:shd w:val="clear" w:color="E8E8E8" w:fill="E8E8E8" w:themeFill="accent3" w:themeFillTint="40"/>
      </w:tcPr>
    </w:tblStylePr>
    <w:tblStylePr w:type="band1Horz">
      <w:rPr>
        <w:rFonts w:ascii="Arial" w:hAnsi="Arial"/>
        <w:color w:val="C9C9C9" w:themeColor="accent3" w:themeTint="98" w:themeShade="95"/>
        <w:sz w:val="22"/>
      </w:rPr>
      <w:tblPr/>
      <w:tcPr>
        <w:shd w:val="clear" w:color="E8E8E8" w:fill="E8E8E8" w:themeFill="accent3" w:themeFillTint="40"/>
      </w:tcPr>
    </w:tblStylePr>
    <w:tblStylePr w:type="band2Horz">
      <w:rPr>
        <w:rFonts w:ascii="Arial" w:hAnsi="Arial"/>
        <w:color w:val="C9C9C9" w:themeColor="accent3" w:themeTint="98" w:themeShade="95"/>
        <w:sz w:val="22"/>
      </w:rPr>
    </w:tblStylePr>
  </w:style>
  <w:style w:type="table" w:styleId="ListTable7Colorful-Accent4">
    <w:name w:val="List Table 7 Colorful Accent 4"/>
    <w:basedOn w:val="TableNormal"/>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FFFFFF"/>
      </w:tcPr>
    </w:tblStylePr>
    <w:tblStylePr w:type="band1Vert">
      <w:tblPr/>
      <w:tcPr>
        <w:shd w:val="clear" w:color="FFEFBF" w:fill="FFEFBF" w:themeFill="accent4" w:themeFillTint="40"/>
      </w:tcPr>
    </w:tblStylePr>
    <w:tblStylePr w:type="band1Horz">
      <w:rPr>
        <w:rFonts w:ascii="Arial" w:hAnsi="Arial"/>
        <w:color w:val="FFD865" w:themeColor="accent4" w:themeTint="9A" w:themeShade="95"/>
        <w:sz w:val="22"/>
      </w:rPr>
      <w:tblPr/>
      <w:tcPr>
        <w:shd w:val="clear" w:color="FFEFBF" w:fill="FFEFBF" w:themeFill="accent4" w:themeFillTint="40"/>
      </w:tcPr>
    </w:tblStylePr>
    <w:tblStylePr w:type="band2Horz">
      <w:rPr>
        <w:rFonts w:ascii="Arial" w:hAnsi="Arial"/>
        <w:color w:val="FFD865" w:themeColor="accent4" w:themeTint="9A" w:themeShade="95"/>
        <w:sz w:val="22"/>
      </w:rPr>
    </w:tblStylePr>
  </w:style>
  <w:style w:type="table" w:styleId="ListTable7Colorful-Accent5">
    <w:name w:val="List Table 7 Colorful Accent 5"/>
    <w:basedOn w:val="TableNormal"/>
    <w:uiPriority w:val="99"/>
    <w:pPr>
      <w:spacing w:after="0" w:line="240" w:lineRule="auto"/>
    </w:pPr>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FFFFFF"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FFFFFF" w:fill="FFFFFF"/>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FFFFFF" w:fill="FFFFFF"/>
      </w:tcPr>
    </w:tblStylePr>
    <w:tblStylePr w:type="band1Vert">
      <w:tblPr/>
      <w:tcPr>
        <w:shd w:val="clear" w:color="CFDBF0" w:fill="CFDBF0" w:themeFill="accent5" w:themeFillTint="40"/>
      </w:tcPr>
    </w:tblStylePr>
    <w:tblStylePr w:type="band1Horz">
      <w:rPr>
        <w:rFonts w:ascii="Arial" w:hAnsi="Arial"/>
        <w:color w:val="8DA9DB" w:themeColor="accent5" w:themeTint="9A" w:themeShade="95"/>
        <w:sz w:val="22"/>
      </w:rPr>
      <w:tblPr/>
      <w:tcPr>
        <w:shd w:val="clear" w:color="CFDBF0" w:fill="CFDBF0" w:themeFill="accent5" w:themeFillTint="40"/>
      </w:tcPr>
    </w:tblStylePr>
    <w:tblStylePr w:type="band2Horz">
      <w:rPr>
        <w:rFonts w:ascii="Arial" w:hAnsi="Arial"/>
        <w:color w:val="8DA9DB" w:themeColor="accent5" w:themeTint="9A" w:themeShade="95"/>
        <w:sz w:val="22"/>
      </w:rPr>
    </w:tblStylePr>
  </w:style>
  <w:style w:type="table" w:styleId="ListTable7Colorful-Accent6">
    <w:name w:val="List Table 7 Colorful Accent 6"/>
    <w:basedOn w:val="TableNormal"/>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FFFFFF"/>
      </w:tcPr>
    </w:tblStylePr>
    <w:tblStylePr w:type="band1Vert">
      <w:tblPr/>
      <w:tcPr>
        <w:shd w:val="clear" w:color="DAEBCF" w:fill="DAEBCF" w:themeFill="accent6" w:themeFillTint="40"/>
      </w:tcPr>
    </w:tblStylePr>
    <w:tblStylePr w:type="band1Horz">
      <w:rPr>
        <w:rFonts w:ascii="Arial" w:hAnsi="Arial"/>
        <w:color w:val="A9D08E" w:themeColor="accent6" w:themeTint="98" w:themeShade="95"/>
        <w:sz w:val="22"/>
      </w:rPr>
      <w:tblPr/>
      <w:tcPr>
        <w:shd w:val="clear" w:color="DAEBCF" w:fill="DAEBCF" w:themeFill="accent6" w:themeFillTint="40"/>
      </w:tcPr>
    </w:tblStylePr>
    <w:tblStylePr w:type="band2Horz">
      <w:rPr>
        <w:rFonts w:ascii="Arial" w:hAnsi="Arial"/>
        <w:color w:val="A9D08E" w:themeColor="accent6" w:themeTint="98" w:themeShade="95"/>
        <w:sz w:val="22"/>
      </w:rPr>
    </w:tblStylePr>
  </w:style>
  <w:style w:type="table" w:customStyle="1" w:styleId="TableGridLight1">
    <w:name w:val="Table Grid Light1"/>
    <w:basedOn w:val="TableNormal"/>
    <w:uiPriority w:val="59"/>
    <w:pPr>
      <w:spacing w:after="0" w:line="240" w:lineRule="auto"/>
    </w:pPr>
    <w:tblPr>
      <w:tblBorders>
        <w:top w:val="single" w:sz="4" w:space="0" w:color="AFAFAF" w:themeColor="text1" w:themeTint="50"/>
        <w:left w:val="single" w:sz="4" w:space="0" w:color="AFAFAF" w:themeColor="text1" w:themeTint="50"/>
        <w:bottom w:val="single" w:sz="4" w:space="0" w:color="AFAFAF" w:themeColor="text1" w:themeTint="50"/>
        <w:right w:val="single" w:sz="4" w:space="0" w:color="AFAFAF" w:themeColor="text1" w:themeTint="50"/>
        <w:insideH w:val="single" w:sz="4" w:space="0" w:color="AFAFAF" w:themeColor="text1" w:themeTint="50"/>
        <w:insideV w:val="single" w:sz="4" w:space="0" w:color="AFAFAF" w:themeColor="text1" w:themeTint="50"/>
      </w:tblBorders>
    </w:tblPr>
  </w:style>
  <w:style w:type="table" w:customStyle="1" w:styleId="GridTable1Light-Accent11">
    <w:name w:val="Grid Table 1 Light - Accent 11"/>
    <w:basedOn w:val="TableNormal"/>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b/>
        <w:color w:val="404040"/>
      </w:rPr>
      <w:tblPr/>
      <w:tcPr>
        <w:tcBorders>
          <w:bottom w:val="single" w:sz="12" w:space="0" w:color="9EC4E6" w:themeColor="accen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GridTable1Light-Accent21">
    <w:name w:val="Grid Table 1 Light - Accent 21"/>
    <w:basedOn w:val="Table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b/>
        <w:color w:val="404040"/>
      </w:rPr>
      <w:tblPr/>
      <w:tcPr>
        <w:tcBorders>
          <w:bottom w:val="single" w:sz="12" w:space="0" w:color="F4B286" w:themeColor="accent2"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GridTable1Light-Accent31">
    <w:name w:val="Grid Table 1 Light - Accent 31"/>
    <w:basedOn w:val="Table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b/>
        <w:color w:val="404040"/>
      </w:rPr>
      <w:tblPr/>
      <w:tcPr>
        <w:tcBorders>
          <w:bottom w:val="single" w:sz="12" w:space="0" w:color="CACACA" w:themeColor="accent3"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GridTable1Light-Accent41">
    <w:name w:val="Grid Table 1 Light - Accent 41"/>
    <w:basedOn w:val="Table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b/>
        <w:color w:val="404040"/>
      </w:rPr>
      <w:tblPr/>
      <w:tcPr>
        <w:tcBorders>
          <w:bottom w:val="single" w:sz="12" w:space="0" w:color="FFDA6A" w:themeColor="accent4"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GridTable1Light-Accent51">
    <w:name w:val="Grid Table 1 Light - Accent 51"/>
    <w:basedOn w:val="TableNormal"/>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b/>
        <w:color w:val="404040"/>
      </w:rPr>
      <w:tblPr/>
      <w:tcPr>
        <w:tcBorders>
          <w:bottom w:val="single" w:sz="12" w:space="0" w:color="91ACDC" w:themeColor="accent5"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GridTable1Light-Accent61">
    <w:name w:val="Grid Table 1 Light - Accent 61"/>
    <w:basedOn w:val="Table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b/>
        <w:color w:val="404040"/>
      </w:rPr>
      <w:tblPr/>
      <w:tcPr>
        <w:tcBorders>
          <w:bottom w:val="single" w:sz="12" w:space="0" w:color="AAD190" w:themeColor="accent6"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table" w:customStyle="1" w:styleId="GridTable2-Accent11">
    <w:name w:val="Grid Table 2 - Accent 11"/>
    <w:basedOn w:val="TableNormal"/>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single" w:sz="12" w:space="0" w:color="68A2D8" w:themeColor="accent1" w:themeTint="EA"/>
          <w:right w:val="none" w:sz="4" w:space="0" w:color="000000"/>
        </w:tcBorders>
        <w:shd w:val="clear" w:color="FFFFFF" w:fill="FFFFFF"/>
      </w:tcPr>
    </w:tblStylePr>
    <w:tblStylePr w:type="lastRow">
      <w:rPr>
        <w:b/>
        <w:color w:val="404040"/>
      </w:rPr>
      <w:tblPr/>
      <w:tcPr>
        <w:tcBorders>
          <w:top w:val="single" w:sz="4" w:space="0" w:color="68A2D8" w:themeColor="accent1" w:themeTint="E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DEAF6" w:fill="DDEAF6" w:themeFill="accent1" w:themeFillTint="34"/>
      </w:tcPr>
    </w:tblStylePr>
    <w:tblStylePr w:type="band1Horz">
      <w:rPr>
        <w:rFonts w:ascii="Arial" w:hAnsi="Arial"/>
        <w:color w:val="404040"/>
        <w:sz w:val="22"/>
      </w:rPr>
      <w:tblPr/>
      <w:tcPr>
        <w:shd w:val="clear" w:color="DDEAF6" w:fill="DDEAF6" w:themeFill="accent1" w:themeFillTint="34"/>
      </w:tcPr>
    </w:tblStylePr>
  </w:style>
  <w:style w:type="table" w:customStyle="1" w:styleId="GridTable2-Accent21">
    <w:name w:val="Grid Table 2 - Accent 21"/>
    <w:basedOn w:val="Table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single" w:sz="12" w:space="0" w:color="F4B184" w:themeColor="accent2" w:themeTint="97"/>
          <w:right w:val="none" w:sz="4" w:space="0" w:color="000000"/>
        </w:tcBorders>
        <w:shd w:val="clear" w:color="FFFFFF" w:fill="FFFFFF"/>
      </w:tcPr>
    </w:tblStylePr>
    <w:tblStylePr w:type="lastRow">
      <w:rPr>
        <w:b/>
        <w:color w:val="404040"/>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Pr/>
      <w:tcPr>
        <w:shd w:val="clear" w:color="FBE5D6" w:fill="FBE5D6" w:themeFill="accent2" w:themeFillTint="32"/>
      </w:tcPr>
    </w:tblStylePr>
  </w:style>
  <w:style w:type="table" w:customStyle="1" w:styleId="GridTable2-Accent31">
    <w:name w:val="Grid Table 2 - Accent 31"/>
    <w:basedOn w:val="Table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single" w:sz="12" w:space="0" w:color="A5A5A5" w:themeColor="accent3" w:themeTint="FE"/>
          <w:right w:val="none" w:sz="4" w:space="0" w:color="000000"/>
        </w:tcBorders>
        <w:shd w:val="clear" w:color="FFFFFF" w:fill="FFFFFF"/>
      </w:tcPr>
    </w:tblStylePr>
    <w:tblStylePr w:type="lastRow">
      <w:rPr>
        <w:b/>
        <w:color w:val="404040"/>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Pr/>
      <w:tcPr>
        <w:shd w:val="clear" w:color="ECECEC" w:fill="ECECEC" w:themeFill="accent3" w:themeFillTint="34"/>
      </w:tcPr>
    </w:tblStylePr>
  </w:style>
  <w:style w:type="table" w:customStyle="1" w:styleId="GridTable2-Accent41">
    <w:name w:val="Grid Table 2 - Accent 41"/>
    <w:basedOn w:val="Table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single" w:sz="12" w:space="0" w:color="FFD865" w:themeColor="accent4" w:themeTint="9A"/>
          <w:right w:val="none" w:sz="4" w:space="0" w:color="000000"/>
        </w:tcBorders>
        <w:shd w:val="clear" w:color="FFFFFF" w:fill="FFFFFF"/>
      </w:tcPr>
    </w:tblStylePr>
    <w:tblStylePr w:type="lastRow">
      <w:rPr>
        <w:b/>
        <w:color w:val="404040"/>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Pr/>
      <w:tcPr>
        <w:shd w:val="clear" w:color="FFF2CB" w:fill="FFF2CB" w:themeFill="accent4" w:themeFillTint="34"/>
      </w:tcPr>
    </w:tblStylePr>
  </w:style>
  <w:style w:type="table" w:customStyle="1" w:styleId="GridTable2-Accent51">
    <w:name w:val="Grid Table 2 - Accent 51"/>
    <w:basedOn w:val="TableNormal"/>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single" w:sz="12" w:space="0" w:color="4472C4" w:themeColor="accent5"/>
          <w:right w:val="none" w:sz="4" w:space="0" w:color="000000"/>
        </w:tcBorders>
        <w:shd w:val="clear" w:color="FFFFFF" w:fill="FFFFFF"/>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fill="D8E2F3" w:themeFill="accent5" w:themeFillTint="34"/>
      </w:tcPr>
    </w:tblStylePr>
    <w:tblStylePr w:type="band1Horz">
      <w:rPr>
        <w:rFonts w:ascii="Arial" w:hAnsi="Arial"/>
        <w:color w:val="404040"/>
        <w:sz w:val="22"/>
      </w:rPr>
      <w:tblPr/>
      <w:tcPr>
        <w:shd w:val="clear" w:color="D8E2F3" w:fill="D8E2F3" w:themeFill="accent5" w:themeFillTint="34"/>
      </w:tcPr>
    </w:tblStylePr>
  </w:style>
  <w:style w:type="table" w:customStyle="1" w:styleId="GridTable2-Accent61">
    <w:name w:val="Grid Table 2 - Accent 61"/>
    <w:basedOn w:val="Table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single" w:sz="12" w:space="0" w:color="70AD47" w:themeColor="accent6"/>
          <w:right w:val="none" w:sz="4" w:space="0" w:color="000000"/>
        </w:tcBorders>
        <w:shd w:val="clear" w:color="FFFFFF" w:fill="FFFFFF"/>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Pr/>
      <w:tcPr>
        <w:shd w:val="clear" w:color="E1EFD8" w:fill="E1EFD8" w:themeFill="accent6" w:themeFillTint="34"/>
      </w:tcPr>
    </w:tblStylePr>
  </w:style>
  <w:style w:type="table" w:customStyle="1" w:styleId="GridTable3-Accent11">
    <w:name w:val="Grid Table 3 - Accent 11"/>
    <w:basedOn w:val="TableNormal"/>
    <w:uiPriority w:val="99"/>
    <w:pPr>
      <w:spacing w:after="0" w:line="240" w:lineRule="auto"/>
    </w:pPr>
    <w:tblPr>
      <w:tblStyleRowBandSize w:val="1"/>
      <w:tblStyleColBandSize w:val="1"/>
      <w:tblBorders>
        <w:bottom w:val="single" w:sz="4" w:space="0" w:color="68A2D8" w:themeColor="accent1" w:themeTint="EA"/>
        <w:insideH w:val="single" w:sz="4" w:space="0" w:color="68A2D8" w:themeColor="accent1" w:themeTint="EA"/>
        <w:insideV w:val="single" w:sz="4" w:space="0" w:color="68A2D8" w:themeColor="accent1" w:themeTint="E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DDEAF6" w:fill="DDEAF6" w:themeFill="accent1" w:themeFillTint="34"/>
      </w:tcPr>
    </w:tblStylePr>
    <w:tblStylePr w:type="band1Horz">
      <w:rPr>
        <w:rFonts w:ascii="Arial" w:hAnsi="Arial"/>
        <w:color w:val="404040"/>
        <w:sz w:val="22"/>
      </w:rPr>
      <w:tblPr/>
      <w:tcPr>
        <w:shd w:val="clear" w:color="DDEAF6" w:fill="DDEAF6" w:themeFill="accent1" w:themeFillTint="34"/>
      </w:tcPr>
    </w:tblStylePr>
  </w:style>
  <w:style w:type="table" w:customStyle="1" w:styleId="GridTable3-Accent21">
    <w:name w:val="Grid Table 3 - Accent 21"/>
    <w:basedOn w:val="TableNormal"/>
    <w:uiPriority w:val="99"/>
    <w:pPr>
      <w:spacing w:after="0" w:line="240" w:lineRule="auto"/>
    </w:pPr>
    <w:tblPr>
      <w:tblStyleRowBandSize w:val="1"/>
      <w:tblStyleColBandSize w:val="1"/>
      <w:tblBorders>
        <w:bottom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Pr/>
      <w:tcPr>
        <w:shd w:val="clear" w:color="FBE5D6" w:fill="FBE5D6" w:themeFill="accent2" w:themeFillTint="32"/>
      </w:tcPr>
    </w:tblStylePr>
  </w:style>
  <w:style w:type="table" w:customStyle="1" w:styleId="GridTable3-Accent31">
    <w:name w:val="Grid Table 3 - Accent 31"/>
    <w:basedOn w:val="TableNormal"/>
    <w:uiPriority w:val="99"/>
    <w:pPr>
      <w:spacing w:after="0" w:line="240" w:lineRule="auto"/>
    </w:pPr>
    <w:tblPr>
      <w:tblStyleRowBandSize w:val="1"/>
      <w:tblStyleColBandSize w:val="1"/>
      <w:tblBorders>
        <w:bottom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Pr/>
      <w:tcPr>
        <w:shd w:val="clear" w:color="ECECEC" w:fill="ECECEC" w:themeFill="accent3" w:themeFillTint="34"/>
      </w:tcPr>
    </w:tblStylePr>
  </w:style>
  <w:style w:type="table" w:customStyle="1" w:styleId="GridTable3-Accent41">
    <w:name w:val="Grid Table 3 - Accent 41"/>
    <w:basedOn w:val="TableNormal"/>
    <w:uiPriority w:val="99"/>
    <w:pPr>
      <w:spacing w:after="0" w:line="240" w:lineRule="auto"/>
    </w:pPr>
    <w:tblPr>
      <w:tblStyleRowBandSize w:val="1"/>
      <w:tblStyleColBandSize w:val="1"/>
      <w:tblBorders>
        <w:bottom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Pr/>
      <w:tcPr>
        <w:shd w:val="clear" w:color="FFF2CB" w:fill="FFF2CB" w:themeFill="accent4" w:themeFillTint="34"/>
      </w:tcPr>
    </w:tblStylePr>
  </w:style>
  <w:style w:type="table" w:customStyle="1" w:styleId="GridTable3-Accent51">
    <w:name w:val="Grid Table 3 - Accent 51"/>
    <w:basedOn w:val="TableNormal"/>
    <w:uiPriority w:val="99"/>
    <w:pPr>
      <w:spacing w:after="0" w:line="240" w:lineRule="auto"/>
    </w:pPr>
    <w:tblPr>
      <w:tblStyleRowBandSize w:val="1"/>
      <w:tblStyleColBandSize w:val="1"/>
      <w:tblBorders>
        <w:bottom w:val="single" w:sz="4" w:space="0" w:color="4472C4" w:themeColor="accent5"/>
        <w:insideH w:val="single" w:sz="4" w:space="0" w:color="4472C4" w:themeColor="accent5"/>
        <w:insideV w:val="single" w:sz="4" w:space="0" w:color="4472C4" w:themeColor="accent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D8E2F3" w:fill="D8E2F3" w:themeFill="accent5" w:themeFillTint="34"/>
      </w:tcPr>
    </w:tblStylePr>
    <w:tblStylePr w:type="band1Horz">
      <w:rPr>
        <w:rFonts w:ascii="Arial" w:hAnsi="Arial"/>
        <w:color w:val="404040"/>
        <w:sz w:val="22"/>
      </w:rPr>
      <w:tblPr/>
      <w:tcPr>
        <w:shd w:val="clear" w:color="D8E2F3" w:fill="D8E2F3" w:themeFill="accent5" w:themeFillTint="34"/>
      </w:tcPr>
    </w:tblStylePr>
  </w:style>
  <w:style w:type="table" w:customStyle="1" w:styleId="GridTable3-Accent61">
    <w:name w:val="Grid Table 3 - Accent 61"/>
    <w:basedOn w:val="TableNormal"/>
    <w:uiPriority w:val="99"/>
    <w:pPr>
      <w:spacing w:after="0" w:line="240" w:lineRule="auto"/>
    </w:pPr>
    <w:tblPr>
      <w:tblStyleRowBandSize w:val="1"/>
      <w:tblStyleColBandSize w:val="1"/>
      <w:tblBorders>
        <w:bottom w:val="single" w:sz="4" w:space="0" w:color="70AD47" w:themeColor="accent6"/>
        <w:insideH w:val="single" w:sz="4" w:space="0" w:color="70AD47" w:themeColor="accent6"/>
        <w:insideV w:val="single" w:sz="4" w:space="0" w:color="70AD47" w:themeColor="accent6"/>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Pr/>
      <w:tcPr>
        <w:shd w:val="clear" w:color="E1EFD8" w:fill="E1EFD8" w:themeFill="accent6" w:themeFillTint="34"/>
      </w:tcPr>
    </w:tblStylePr>
  </w:style>
  <w:style w:type="table" w:customStyle="1" w:styleId="GridTable4-Accent11">
    <w:name w:val="Grid Table 4 - Accent 11"/>
    <w:basedOn w:val="TableNormal"/>
    <w:uiPriority w:val="5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insideV w:val="single" w:sz="4" w:space="0" w:color="A2C6E7" w:themeColor="accent1" w:themeTint="90"/>
      </w:tblBorders>
    </w:tblPr>
    <w:tblStylePr w:type="firstRow">
      <w:rPr>
        <w:rFonts w:ascii="Arial" w:hAnsi="Arial"/>
        <w:b/>
        <w:color w:val="FFFFFF"/>
        <w:sz w:val="22"/>
      </w:rPr>
      <w:tblPr/>
      <w:tcPr>
        <w:tcBorders>
          <w:top w:val="single" w:sz="4" w:space="0" w:color="68A2D8" w:themeColor="accent1" w:themeTint="EA"/>
          <w:left w:val="single" w:sz="4" w:space="0" w:color="68A2D8" w:themeColor="accent1" w:themeTint="EA"/>
          <w:bottom w:val="single" w:sz="4" w:space="0" w:color="68A2D8" w:themeColor="accent1" w:themeTint="EA"/>
          <w:right w:val="single" w:sz="4" w:space="0" w:color="68A2D8" w:themeColor="accent1" w:themeTint="EA"/>
        </w:tcBorders>
        <w:shd w:val="clear" w:color="68A2D8" w:fill="68A2D8" w:themeFill="accent1" w:themeFillTint="EA"/>
      </w:tcPr>
    </w:tblStylePr>
    <w:tblStylePr w:type="lastRow">
      <w:rPr>
        <w:b/>
        <w:color w:val="404040"/>
      </w:rPr>
      <w:tblPr/>
      <w:tcPr>
        <w:tcBorders>
          <w:top w:val="single" w:sz="4" w:space="0" w:color="68A2D8" w:themeColor="accent1" w:themeTint="E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EEBF6" w:fill="DEEBF6" w:themeFill="accent1" w:themeFillTint="32"/>
      </w:tcPr>
    </w:tblStylePr>
    <w:tblStylePr w:type="band1Horz">
      <w:rPr>
        <w:rFonts w:ascii="Arial" w:hAnsi="Arial"/>
        <w:color w:val="404040"/>
        <w:sz w:val="22"/>
      </w:rPr>
      <w:tblPr/>
      <w:tcPr>
        <w:shd w:val="clear" w:color="DEEBF6" w:fill="DEEBF6" w:themeFill="accent1" w:themeFillTint="32"/>
      </w:tcPr>
    </w:tblStylePr>
  </w:style>
  <w:style w:type="table" w:customStyle="1" w:styleId="GridTable4-Accent21">
    <w:name w:val="Grid Table 4 - Accent 21"/>
    <w:basedOn w:val="TableNormal"/>
    <w:uiPriority w:val="5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insideV w:val="single" w:sz="4" w:space="0" w:color="F4B58A" w:themeColor="accent2" w:themeTint="90"/>
      </w:tblBorders>
    </w:tblPr>
    <w:tblStylePr w:type="firstRow">
      <w:rPr>
        <w:rFonts w:ascii="Arial" w:hAnsi="Arial"/>
        <w:b/>
        <w:color w:val="FFFFFF"/>
        <w:sz w:val="22"/>
      </w:rPr>
      <w:tblPr/>
      <w:tcPr>
        <w:tc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cBorders>
        <w:shd w:val="clear" w:color="F4B184" w:fill="F4B184" w:themeFill="accent2" w:themeFillTint="97"/>
      </w:tcPr>
    </w:tblStylePr>
    <w:tblStylePr w:type="lastRow">
      <w:rPr>
        <w:b/>
        <w:color w:val="404040"/>
      </w:rPr>
      <w:tblPr/>
      <w:tcPr>
        <w:tcBorders>
          <w:top w:val="single" w:sz="4" w:space="0" w:color="F4B184" w:themeColor="accent2" w:themeTint="97"/>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Pr/>
      <w:tcPr>
        <w:shd w:val="clear" w:color="FBE5D6" w:fill="FBE5D6" w:themeFill="accent2" w:themeFillTint="32"/>
      </w:tcPr>
    </w:tblStylePr>
  </w:style>
  <w:style w:type="table" w:customStyle="1" w:styleId="GridTable4-Accent31">
    <w:name w:val="Grid Table 4 - Accent 31"/>
    <w:basedOn w:val="TableNormal"/>
    <w:uiPriority w:val="5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insideV w:val="single" w:sz="4" w:space="0" w:color="CCCCCC" w:themeColor="accent3" w:themeTint="90"/>
      </w:tblBorders>
    </w:tblPr>
    <w:tblStylePr w:type="firstRow">
      <w:rPr>
        <w:rFonts w:ascii="Arial" w:hAnsi="Arial"/>
        <w:b/>
        <w:color w:val="FFFFFF"/>
        <w:sz w:val="22"/>
      </w:rPr>
      <w:tblPr/>
      <w:tcPr>
        <w:tc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tcBorders>
        <w:shd w:val="clear" w:color="A5A5A5" w:fill="A5A5A5" w:themeFill="accent3" w:themeFillTint="FE"/>
      </w:tcPr>
    </w:tblStylePr>
    <w:tblStylePr w:type="lastRow">
      <w:rPr>
        <w:b/>
        <w:color w:val="404040"/>
      </w:rPr>
      <w:tblPr/>
      <w:tcPr>
        <w:tcBorders>
          <w:top w:val="single" w:sz="4" w:space="0" w:color="A5A5A5" w:themeColor="accent3" w:themeTint="FE"/>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Pr/>
      <w:tcPr>
        <w:shd w:val="clear" w:color="ECECEC" w:fill="ECECEC" w:themeFill="accent3" w:themeFillTint="34"/>
      </w:tcPr>
    </w:tblStylePr>
  </w:style>
  <w:style w:type="table" w:customStyle="1" w:styleId="GridTable4-Accent41">
    <w:name w:val="Grid Table 4 - Accent 41"/>
    <w:basedOn w:val="TableNormal"/>
    <w:uiPriority w:val="5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insideV w:val="single" w:sz="4" w:space="0" w:color="FFDB6F" w:themeColor="accent4" w:themeTint="90"/>
      </w:tblBorders>
    </w:tblPr>
    <w:tblStylePr w:type="firstRow">
      <w:rPr>
        <w:rFonts w:ascii="Arial" w:hAnsi="Arial"/>
        <w:b/>
        <w:color w:val="FFFFFF"/>
        <w:sz w:val="22"/>
      </w:rPr>
      <w:tblPr/>
      <w:tcPr>
        <w:tc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cBorders>
        <w:shd w:val="clear" w:color="FFD865" w:fill="FFD865" w:themeFill="accent4" w:themeFillTint="9A"/>
      </w:tcPr>
    </w:tblStylePr>
    <w:tblStylePr w:type="lastRow">
      <w:rPr>
        <w:b/>
        <w:color w:val="404040"/>
      </w:rPr>
      <w:tblPr/>
      <w:tcPr>
        <w:tcBorders>
          <w:top w:val="single" w:sz="4" w:space="0" w:color="FFD865" w:themeColor="accent4" w:themeTint="9A"/>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Pr/>
      <w:tcPr>
        <w:shd w:val="clear" w:color="FFF2CB" w:fill="FFF2CB" w:themeFill="accent4" w:themeFillTint="34"/>
      </w:tcPr>
    </w:tblStylePr>
  </w:style>
  <w:style w:type="table" w:customStyle="1" w:styleId="GridTable4-Accent51">
    <w:name w:val="Grid Table 4 - Accent 51"/>
    <w:basedOn w:val="TableNormal"/>
    <w:uiPriority w:val="5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FFFFFF"/>
        <w:sz w:val="22"/>
      </w:rPr>
      <w:tblPr/>
      <w:tcPr>
        <w:tcBorders>
          <w:top w:val="single" w:sz="4" w:space="0" w:color="4472C4" w:themeColor="accent5"/>
          <w:left w:val="single" w:sz="4" w:space="0" w:color="4472C4" w:themeColor="accent5"/>
          <w:bottom w:val="single" w:sz="4" w:space="0" w:color="4472C4" w:themeColor="accent5"/>
          <w:right w:val="single" w:sz="4" w:space="0" w:color="4472C4" w:themeColor="accent5"/>
        </w:tcBorders>
        <w:shd w:val="clear" w:color="4472C4" w:fill="4472C4" w:themeFill="accent5"/>
      </w:tcPr>
    </w:tblStylePr>
    <w:tblStylePr w:type="lastRow">
      <w:rPr>
        <w:b/>
        <w:color w:val="404040"/>
      </w:rPr>
      <w:tblPr/>
      <w:tcPr>
        <w:tcBorders>
          <w:top w:val="single" w:sz="4" w:space="0" w:color="4472C4" w:themeColor="accent5"/>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8E2F3" w:fill="D8E2F3" w:themeFill="accent5" w:themeFillTint="34"/>
      </w:tcPr>
    </w:tblStylePr>
    <w:tblStylePr w:type="band1Horz">
      <w:rPr>
        <w:rFonts w:ascii="Arial" w:hAnsi="Arial"/>
        <w:color w:val="404040"/>
        <w:sz w:val="22"/>
      </w:rPr>
      <w:tblPr/>
      <w:tcPr>
        <w:shd w:val="clear" w:color="D8E2F3" w:fill="D8E2F3" w:themeFill="accent5" w:themeFillTint="34"/>
      </w:tcPr>
    </w:tblStylePr>
  </w:style>
  <w:style w:type="table" w:customStyle="1" w:styleId="GridTable4-Accent61">
    <w:name w:val="Grid Table 4 - Accent 61"/>
    <w:basedOn w:val="TableNormal"/>
    <w:uiPriority w:val="5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FFFFFF"/>
        <w:sz w:val="22"/>
      </w:rPr>
      <w:tblPr/>
      <w:tcPr>
        <w:tcBorders>
          <w:top w:val="single" w:sz="4" w:space="0" w:color="70AD47" w:themeColor="accent6"/>
          <w:left w:val="single" w:sz="4" w:space="0" w:color="70AD47" w:themeColor="accent6"/>
          <w:bottom w:val="single" w:sz="4" w:space="0" w:color="70AD47" w:themeColor="accent6"/>
          <w:right w:val="single" w:sz="4" w:space="0" w:color="70AD47" w:themeColor="accent6"/>
        </w:tcBorders>
        <w:shd w:val="clear" w:color="70AD47" w:fill="70AD47" w:themeFill="accent6"/>
      </w:tcPr>
    </w:tblStylePr>
    <w:tblStylePr w:type="lastRow">
      <w:rPr>
        <w:b/>
        <w:color w:val="404040"/>
      </w:rPr>
      <w:tblPr/>
      <w:tcPr>
        <w:tcBorders>
          <w:top w:val="single" w:sz="4" w:space="0" w:color="70AD47" w:themeColor="accent6"/>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Pr/>
      <w:tcPr>
        <w:shd w:val="clear" w:color="E1EFD8" w:fill="E1EFD8" w:themeFill="accent6" w:themeFillTint="34"/>
      </w:tcPr>
    </w:tblStylePr>
  </w:style>
  <w:style w:type="table" w:customStyle="1" w:styleId="GridTable5Dark-Accent21">
    <w:name w:val="Grid Table 5 Dark - Accent 21"/>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BE5D6" w:fill="FBE5D6" w:themeFill="accent2" w:themeFillTint="32"/>
    </w:tblPr>
    <w:tblStylePr w:type="firstRow">
      <w:rPr>
        <w:rFonts w:ascii="Arial" w:hAnsi="Arial"/>
        <w:b/>
        <w:color w:val="FFFFFF"/>
        <w:sz w:val="22"/>
      </w:rPr>
      <w:tblPr/>
      <w:tcPr>
        <w:shd w:val="clear" w:color="ED7D31" w:fill="ED7D31" w:themeFill="accent2"/>
      </w:tcPr>
    </w:tblStylePr>
    <w:tblStylePr w:type="lastRow">
      <w:rPr>
        <w:rFonts w:ascii="Arial" w:hAnsi="Arial"/>
        <w:b/>
        <w:color w:val="FFFFFF"/>
        <w:sz w:val="22"/>
      </w:rPr>
      <w:tblPr/>
      <w:tcPr>
        <w:tcBorders>
          <w:top w:val="single" w:sz="4" w:space="0" w:color="FFFFFF" w:themeColor="light1"/>
        </w:tcBorders>
        <w:shd w:val="clear" w:color="ED7D31" w:fill="ED7D31" w:themeFill="accent2"/>
      </w:tcPr>
    </w:tblStylePr>
    <w:tblStylePr w:type="firstCol">
      <w:rPr>
        <w:rFonts w:ascii="Arial" w:hAnsi="Arial"/>
        <w:b/>
        <w:color w:val="FFFFFF"/>
        <w:sz w:val="22"/>
      </w:rPr>
      <w:tblPr/>
      <w:tcPr>
        <w:shd w:val="clear" w:color="ED7D31" w:fill="ED7D31" w:themeFill="accent2"/>
      </w:tcPr>
    </w:tblStylePr>
    <w:tblStylePr w:type="lastCol">
      <w:rPr>
        <w:rFonts w:ascii="Arial" w:hAnsi="Arial"/>
        <w:b/>
        <w:color w:val="FFFFFF"/>
        <w:sz w:val="22"/>
      </w:rPr>
      <w:tblPr/>
      <w:tcPr>
        <w:shd w:val="clear" w:color="ED7D31" w:fill="ED7D31" w:themeFill="accent2"/>
      </w:tcPr>
    </w:tblStylePr>
    <w:tblStylePr w:type="band1Vert">
      <w:tblPr/>
      <w:tcPr>
        <w:shd w:val="clear" w:color="F6C3A0" w:fill="F6C3A0" w:themeFill="accent2" w:themeFillTint="75"/>
      </w:tcPr>
    </w:tblStylePr>
    <w:tblStylePr w:type="band1Horz">
      <w:tblPr/>
      <w:tcPr>
        <w:shd w:val="clear" w:color="F6C3A0" w:fill="F6C3A0" w:themeFill="accent2" w:themeFillTint="75"/>
      </w:tcPr>
    </w:tblStylePr>
  </w:style>
  <w:style w:type="table" w:customStyle="1" w:styleId="GridTable5Dark-Accent31">
    <w:name w:val="Grid Table 5 Dark - Accent 31"/>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CECEC" w:fill="ECECEC" w:themeFill="accent3" w:themeFillTint="34"/>
    </w:tblPr>
    <w:tblStylePr w:type="firstRow">
      <w:rPr>
        <w:rFonts w:ascii="Arial" w:hAnsi="Arial"/>
        <w:b/>
        <w:color w:val="FFFFFF"/>
        <w:sz w:val="22"/>
      </w:rPr>
      <w:tblPr/>
      <w:tcPr>
        <w:shd w:val="clear" w:color="A5A5A5" w:fill="A5A5A5" w:themeFill="accent3"/>
      </w:tcPr>
    </w:tblStylePr>
    <w:tblStylePr w:type="lastRow">
      <w:rPr>
        <w:rFonts w:ascii="Arial" w:hAnsi="Arial"/>
        <w:b/>
        <w:color w:val="FFFFFF"/>
        <w:sz w:val="22"/>
      </w:rPr>
      <w:tblPr/>
      <w:tcPr>
        <w:tcBorders>
          <w:top w:val="single" w:sz="4" w:space="0" w:color="FFFFFF" w:themeColor="light1"/>
        </w:tcBorders>
        <w:shd w:val="clear" w:color="A5A5A5" w:fill="A5A5A5" w:themeFill="accent3"/>
      </w:tcPr>
    </w:tblStylePr>
    <w:tblStylePr w:type="firstCol">
      <w:rPr>
        <w:rFonts w:ascii="Arial" w:hAnsi="Arial"/>
        <w:b/>
        <w:color w:val="FFFFFF"/>
        <w:sz w:val="22"/>
      </w:rPr>
      <w:tblPr/>
      <w:tcPr>
        <w:shd w:val="clear" w:color="A5A5A5" w:fill="A5A5A5" w:themeFill="accent3"/>
      </w:tcPr>
    </w:tblStylePr>
    <w:tblStylePr w:type="lastCol">
      <w:rPr>
        <w:rFonts w:ascii="Arial" w:hAnsi="Arial"/>
        <w:b/>
        <w:color w:val="FFFFFF"/>
        <w:sz w:val="22"/>
      </w:rPr>
      <w:tblPr/>
      <w:tcPr>
        <w:shd w:val="clear" w:color="A5A5A5" w:fill="A5A5A5" w:themeFill="accent3"/>
      </w:tcPr>
    </w:tblStylePr>
    <w:tblStylePr w:type="band1Vert">
      <w:tblPr/>
      <w:tcPr>
        <w:shd w:val="clear" w:color="D5D5D5" w:fill="D5D5D5" w:themeFill="accent3" w:themeFillTint="75"/>
      </w:tcPr>
    </w:tblStylePr>
    <w:tblStylePr w:type="band1Horz">
      <w:tblPr/>
      <w:tcPr>
        <w:shd w:val="clear" w:color="D5D5D5" w:fill="D5D5D5" w:themeFill="accent3" w:themeFillTint="75"/>
      </w:tcPr>
    </w:tblStylePr>
  </w:style>
  <w:style w:type="table" w:customStyle="1" w:styleId="GridTable5Dark-Accent51">
    <w:name w:val="Grid Table 5 Dark - Accent 51"/>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8E2F3" w:fill="D8E2F3" w:themeFill="accent5" w:themeFillTint="34"/>
    </w:tblPr>
    <w:tblStylePr w:type="firstRow">
      <w:rPr>
        <w:rFonts w:ascii="Arial" w:hAnsi="Arial"/>
        <w:b/>
        <w:color w:val="FFFFFF"/>
        <w:sz w:val="22"/>
      </w:rPr>
      <w:tblPr/>
      <w:tcPr>
        <w:shd w:val="clear" w:color="4472C4" w:fill="4472C4" w:themeFill="accent5"/>
      </w:tcPr>
    </w:tblStylePr>
    <w:tblStylePr w:type="lastRow">
      <w:rPr>
        <w:rFonts w:ascii="Arial" w:hAnsi="Arial"/>
        <w:b/>
        <w:color w:val="FFFFFF"/>
        <w:sz w:val="22"/>
      </w:rPr>
      <w:tblPr/>
      <w:tcPr>
        <w:tcBorders>
          <w:top w:val="single" w:sz="4" w:space="0" w:color="FFFFFF" w:themeColor="light1"/>
        </w:tcBorders>
        <w:shd w:val="clear" w:color="4472C4" w:fill="4472C4" w:themeFill="accent5"/>
      </w:tcPr>
    </w:tblStylePr>
    <w:tblStylePr w:type="firstCol">
      <w:rPr>
        <w:rFonts w:ascii="Arial" w:hAnsi="Arial"/>
        <w:b/>
        <w:color w:val="FFFFFF"/>
        <w:sz w:val="22"/>
      </w:rPr>
      <w:tblPr/>
      <w:tcPr>
        <w:shd w:val="clear" w:color="4472C4" w:fill="4472C4" w:themeFill="accent5"/>
      </w:tcPr>
    </w:tblStylePr>
    <w:tblStylePr w:type="lastCol">
      <w:rPr>
        <w:rFonts w:ascii="Arial" w:hAnsi="Arial"/>
        <w:b/>
        <w:color w:val="FFFFFF"/>
        <w:sz w:val="22"/>
      </w:rPr>
      <w:tblPr/>
      <w:tcPr>
        <w:shd w:val="clear" w:color="4472C4" w:fill="4472C4" w:themeFill="accent5"/>
      </w:tcPr>
    </w:tblStylePr>
    <w:tblStylePr w:type="band1Vert">
      <w:tblPr/>
      <w:tcPr>
        <w:shd w:val="clear" w:color="A9BEE4" w:fill="A9BEE4" w:themeFill="accent5" w:themeFillTint="75"/>
      </w:tcPr>
    </w:tblStylePr>
    <w:tblStylePr w:type="band1Horz">
      <w:tblPr/>
      <w:tcPr>
        <w:shd w:val="clear" w:color="A9BEE4" w:fill="A9BEE4" w:themeFill="accent5" w:themeFillTint="75"/>
      </w:tcPr>
    </w:tblStylePr>
  </w:style>
  <w:style w:type="table" w:customStyle="1" w:styleId="GridTable5Dark-Accent61">
    <w:name w:val="Grid Table 5 Dark - Accent 61"/>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E1EFD8" w:fill="E1EFD8" w:themeFill="accent6" w:themeFillTint="34"/>
    </w:tblPr>
    <w:tblStylePr w:type="firstRow">
      <w:rPr>
        <w:rFonts w:ascii="Arial" w:hAnsi="Arial"/>
        <w:b/>
        <w:color w:val="FFFFFF"/>
        <w:sz w:val="22"/>
      </w:rPr>
      <w:tblPr/>
      <w:tcPr>
        <w:shd w:val="clear" w:color="70AD47" w:fill="70AD47" w:themeFill="accent6"/>
      </w:tcPr>
    </w:tblStylePr>
    <w:tblStylePr w:type="lastRow">
      <w:rPr>
        <w:rFonts w:ascii="Arial" w:hAnsi="Arial"/>
        <w:b/>
        <w:color w:val="FFFFFF"/>
        <w:sz w:val="22"/>
      </w:rPr>
      <w:tblPr/>
      <w:tcPr>
        <w:tcBorders>
          <w:top w:val="single" w:sz="4" w:space="0" w:color="FFFFFF" w:themeColor="light1"/>
        </w:tcBorders>
        <w:shd w:val="clear" w:color="70AD47" w:fill="70AD47" w:themeFill="accent6"/>
      </w:tcPr>
    </w:tblStylePr>
    <w:tblStylePr w:type="firstCol">
      <w:rPr>
        <w:rFonts w:ascii="Arial" w:hAnsi="Arial"/>
        <w:b/>
        <w:color w:val="FFFFFF"/>
        <w:sz w:val="22"/>
      </w:rPr>
      <w:tblPr/>
      <w:tcPr>
        <w:shd w:val="clear" w:color="70AD47" w:fill="70AD47" w:themeFill="accent6"/>
      </w:tcPr>
    </w:tblStylePr>
    <w:tblStylePr w:type="lastCol">
      <w:rPr>
        <w:rFonts w:ascii="Arial" w:hAnsi="Arial"/>
        <w:b/>
        <w:color w:val="FFFFFF"/>
        <w:sz w:val="22"/>
      </w:rPr>
      <w:tblPr/>
      <w:tcPr>
        <w:shd w:val="clear" w:color="70AD47" w:fill="70AD47" w:themeFill="accent6"/>
      </w:tcPr>
    </w:tblStylePr>
    <w:tblStylePr w:type="band1Vert">
      <w:tblPr/>
      <w:tcPr>
        <w:shd w:val="clear" w:color="BCDBA8" w:fill="BCDBA8" w:themeFill="accent6" w:themeFillTint="75"/>
      </w:tcPr>
    </w:tblStylePr>
    <w:tblStylePr w:type="band1Horz">
      <w:tblPr/>
      <w:tcPr>
        <w:shd w:val="clear" w:color="BCDBA8" w:fill="BCDBA8" w:themeFill="accent6" w:themeFillTint="75"/>
      </w:tcPr>
    </w:tblStylePr>
  </w:style>
  <w:style w:type="table" w:customStyle="1" w:styleId="GridTable6Colorful-Accent11">
    <w:name w:val="Grid Table 6 Colorful - Accent 11"/>
    <w:basedOn w:val="TableNormal"/>
    <w:uiPriority w:val="99"/>
    <w:pPr>
      <w:spacing w:after="0" w:line="240" w:lineRule="auto"/>
    </w:pPr>
    <w:tblPr>
      <w:tblStyleRowBandSize w:val="1"/>
      <w:tblStyleColBandSize w:val="1"/>
      <w:tblBorders>
        <w:top w:val="single" w:sz="4" w:space="0" w:color="ACCCEA" w:themeColor="accent1" w:themeTint="80"/>
        <w:left w:val="single" w:sz="4" w:space="0" w:color="ACCCEA" w:themeColor="accent1" w:themeTint="80"/>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b/>
        <w:color w:val="ACCCEA" w:themeColor="accent1" w:themeTint="80" w:themeShade="95"/>
      </w:rPr>
      <w:tblPr/>
      <w:tcPr>
        <w:tcBorders>
          <w:bottom w:val="single" w:sz="12" w:space="0" w:color="ACCCEA" w:themeColor="accent1" w:themeTint="80"/>
        </w:tcBorders>
      </w:tcPr>
    </w:tblStylePr>
    <w:tblStylePr w:type="lastRow">
      <w:rPr>
        <w:b/>
        <w:color w:val="ACCCEA" w:themeColor="accent1" w:themeTint="80" w:themeShade="95"/>
      </w:rPr>
    </w:tblStylePr>
    <w:tblStylePr w:type="firstCol">
      <w:rPr>
        <w:b/>
        <w:color w:val="ACCCEA" w:themeColor="accent1" w:themeTint="80" w:themeShade="95"/>
      </w:rPr>
    </w:tblStylePr>
    <w:tblStylePr w:type="lastCol">
      <w:rPr>
        <w:b/>
        <w:color w:val="ACCCEA" w:themeColor="accent1" w:themeTint="80" w:themeShade="95"/>
      </w:rPr>
    </w:tblStylePr>
    <w:tblStylePr w:type="band1Vert">
      <w:tblPr/>
      <w:tcPr>
        <w:shd w:val="clear" w:color="DDEAF6" w:fill="DDEAF6" w:themeFill="accent1" w:themeFillTint="34"/>
      </w:tcPr>
    </w:tblStylePr>
    <w:tblStylePr w:type="band1Horz">
      <w:rPr>
        <w:rFonts w:ascii="Arial" w:hAnsi="Arial"/>
        <w:color w:val="ACCCEA" w:themeColor="accent1" w:themeTint="80" w:themeShade="95"/>
        <w:sz w:val="22"/>
      </w:rPr>
      <w:tblPr/>
      <w:tcPr>
        <w:shd w:val="clear" w:color="DDEAF6" w:fill="DDEAF6" w:themeFill="accent1" w:themeFillTint="34"/>
      </w:tcPr>
    </w:tblStylePr>
    <w:tblStylePr w:type="band2Horz">
      <w:rPr>
        <w:rFonts w:ascii="Arial" w:hAnsi="Arial"/>
        <w:color w:val="ACCCEA" w:themeColor="accent1" w:themeTint="80" w:themeShade="95"/>
        <w:sz w:val="22"/>
      </w:rPr>
    </w:tblStylePr>
  </w:style>
  <w:style w:type="table" w:customStyle="1" w:styleId="GridTable6Colorful-Accent21">
    <w:name w:val="Grid Table 6 Colorful - Accent 21"/>
    <w:basedOn w:val="Table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b/>
        <w:color w:val="F4B184" w:themeColor="accent2" w:themeTint="97" w:themeShade="95"/>
      </w:rPr>
      <w:tblPr/>
      <w:tcPr>
        <w:tcBorders>
          <w:bottom w:val="single" w:sz="12" w:space="0" w:color="F4B184" w:themeColor="accent2" w:themeTint="97"/>
        </w:tcBorders>
      </w:tcPr>
    </w:tblStylePr>
    <w:tblStylePr w:type="lastRow">
      <w:rPr>
        <w:b/>
        <w:color w:val="F4B184" w:themeColor="accent2" w:themeTint="97" w:themeShade="95"/>
      </w:r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BE5D6" w:fill="FBE5D6" w:themeFill="accent2" w:themeFillTint="32"/>
      </w:tcPr>
    </w:tblStylePr>
    <w:tblStylePr w:type="band1Horz">
      <w:rPr>
        <w:rFonts w:ascii="Arial" w:hAnsi="Arial"/>
        <w:color w:val="F4B184" w:themeColor="accent2" w:themeTint="97" w:themeShade="95"/>
        <w:sz w:val="22"/>
      </w:rPr>
      <w:tblPr/>
      <w:tcPr>
        <w:shd w:val="clear" w:color="FBE5D6" w:fill="FBE5D6" w:themeFill="accent2" w:themeFillTint="32"/>
      </w:tcPr>
    </w:tblStylePr>
    <w:tblStylePr w:type="band2Horz">
      <w:rPr>
        <w:rFonts w:ascii="Arial" w:hAnsi="Arial"/>
        <w:color w:val="F4B184" w:themeColor="accent2" w:themeTint="97" w:themeShade="95"/>
        <w:sz w:val="22"/>
      </w:rPr>
    </w:tblStylePr>
  </w:style>
  <w:style w:type="table" w:customStyle="1" w:styleId="GridTable6Colorful-Accent31">
    <w:name w:val="Grid Table 6 Colorful - Accent 31"/>
    <w:basedOn w:val="TableNormal"/>
    <w:uiPriority w:val="99"/>
    <w:pPr>
      <w:spacing w:after="0" w:line="240" w:lineRule="auto"/>
    </w:pPr>
    <w:tblPr>
      <w:tblStyleRowBandSize w:val="1"/>
      <w:tblStyleColBandSize w:val="1"/>
      <w:tblBorders>
        <w:top w:val="single" w:sz="4" w:space="0" w:color="A5A5A5" w:themeColor="accent3" w:themeTint="FE"/>
        <w:left w:val="single" w:sz="4" w:space="0" w:color="A5A5A5" w:themeColor="accent3" w:themeTint="FE"/>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b/>
        <w:color w:val="A5A5A5" w:themeColor="accent3" w:themeTint="FE" w:themeShade="95"/>
      </w:rPr>
      <w:tblPr/>
      <w:tcPr>
        <w:tcBorders>
          <w:bottom w:val="single" w:sz="12" w:space="0" w:color="A5A5A5" w:themeColor="accent3" w:themeTint="FE"/>
        </w:tcBorders>
      </w:tcPr>
    </w:tblStylePr>
    <w:tblStylePr w:type="lastRow">
      <w:rPr>
        <w:b/>
        <w:color w:val="A5A5A5" w:themeColor="accent3" w:themeTint="FE" w:themeShade="95"/>
      </w:rPr>
    </w:tblStylePr>
    <w:tblStylePr w:type="firstCol">
      <w:rPr>
        <w:b/>
        <w:color w:val="A5A5A5" w:themeColor="accent3" w:themeTint="FE" w:themeShade="95"/>
      </w:rPr>
    </w:tblStylePr>
    <w:tblStylePr w:type="lastCol">
      <w:rPr>
        <w:b/>
        <w:color w:val="A5A5A5" w:themeColor="accent3" w:themeTint="FE" w:themeShade="95"/>
      </w:rPr>
    </w:tblStylePr>
    <w:tblStylePr w:type="band1Vert">
      <w:tblPr/>
      <w:tcPr>
        <w:shd w:val="clear" w:color="ECECEC" w:fill="ECECEC" w:themeFill="accent3" w:themeFillTint="34"/>
      </w:tcPr>
    </w:tblStylePr>
    <w:tblStylePr w:type="band1Horz">
      <w:rPr>
        <w:rFonts w:ascii="Arial" w:hAnsi="Arial"/>
        <w:color w:val="A5A5A5" w:themeColor="accent3" w:themeTint="FE" w:themeShade="95"/>
        <w:sz w:val="22"/>
      </w:rPr>
      <w:tblPr/>
      <w:tcPr>
        <w:shd w:val="clear" w:color="ECECEC" w:fill="ECECEC" w:themeFill="accent3" w:themeFillTint="34"/>
      </w:tcPr>
    </w:tblStylePr>
    <w:tblStylePr w:type="band2Horz">
      <w:rPr>
        <w:rFonts w:ascii="Arial" w:hAnsi="Arial"/>
        <w:color w:val="A5A5A5" w:themeColor="accent3" w:themeTint="FE" w:themeShade="95"/>
        <w:sz w:val="22"/>
      </w:rPr>
    </w:tblStylePr>
  </w:style>
  <w:style w:type="table" w:customStyle="1" w:styleId="GridTable6Colorful-Accent41">
    <w:name w:val="Grid Table 6 Colorful - Accent 41"/>
    <w:basedOn w:val="Table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b/>
        <w:color w:val="FFD865" w:themeColor="accent4" w:themeTint="9A" w:themeShade="95"/>
      </w:rPr>
      <w:tblPr/>
      <w:tcPr>
        <w:tcBorders>
          <w:bottom w:val="single" w:sz="12" w:space="0" w:color="FFD865" w:themeColor="accent4" w:themeTint="9A"/>
        </w:tcBorders>
      </w:tcPr>
    </w:tblStylePr>
    <w:tblStylePr w:type="lastRow">
      <w:rPr>
        <w:b/>
        <w:color w:val="FFD865" w:themeColor="accent4" w:themeTint="9A" w:themeShade="95"/>
      </w:r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F2CB" w:fill="FFF2CB" w:themeFill="accent4" w:themeFillTint="34"/>
      </w:tcPr>
    </w:tblStylePr>
    <w:tblStylePr w:type="band1Horz">
      <w:rPr>
        <w:rFonts w:ascii="Arial" w:hAnsi="Arial"/>
        <w:color w:val="FFD865" w:themeColor="accent4" w:themeTint="9A" w:themeShade="95"/>
        <w:sz w:val="22"/>
      </w:rPr>
      <w:tblPr/>
      <w:tcPr>
        <w:shd w:val="clear" w:color="FFF2CB" w:fill="FFF2CB" w:themeFill="accent4" w:themeFillTint="34"/>
      </w:tcPr>
    </w:tblStylePr>
    <w:tblStylePr w:type="band2Horz">
      <w:rPr>
        <w:rFonts w:ascii="Arial" w:hAnsi="Arial"/>
        <w:color w:val="FFD865" w:themeColor="accent4" w:themeTint="9A" w:themeShade="95"/>
        <w:sz w:val="22"/>
      </w:rPr>
    </w:tblStylePr>
  </w:style>
  <w:style w:type="table" w:customStyle="1" w:styleId="GridTable6Colorful-Accent51">
    <w:name w:val="Grid Table 6 Colorful - Accent 51"/>
    <w:basedOn w:val="TableNormal"/>
    <w:uiPriority w:val="99"/>
    <w:pPr>
      <w:spacing w:after="0" w:line="240" w:lineRule="auto"/>
    </w:pPr>
    <w:tblPr>
      <w:tblStyleRowBandSize w:val="1"/>
      <w:tblStyleColBandSize w:val="1"/>
      <w:tblBorders>
        <w:top w:val="single" w:sz="4" w:space="0" w:color="4472C4" w:themeColor="accent5"/>
        <w:left w:val="single" w:sz="4" w:space="0" w:color="4472C4" w:themeColor="accent5"/>
        <w:bottom w:val="single" w:sz="4" w:space="0" w:color="4472C4" w:themeColor="accent5"/>
        <w:right w:val="single" w:sz="4" w:space="0" w:color="4472C4" w:themeColor="accent5"/>
        <w:insideH w:val="single" w:sz="4" w:space="0" w:color="4472C4" w:themeColor="accent5"/>
        <w:insideV w:val="single" w:sz="4" w:space="0" w:color="4472C4" w:themeColor="accent5"/>
      </w:tblBorders>
    </w:tblPr>
    <w:tblStylePr w:type="firstRow">
      <w:rPr>
        <w:b/>
        <w:color w:val="254175" w:themeColor="accent5" w:themeShade="95"/>
      </w:rPr>
      <w:tblPr/>
      <w:tcPr>
        <w:tcBorders>
          <w:bottom w:val="single" w:sz="12" w:space="0" w:color="4472C4" w:themeColor="accent5"/>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D8E2F3" w:fill="D8E2F3" w:themeFill="accent5" w:themeFillTint="34"/>
      </w:tcPr>
    </w:tblStylePr>
    <w:tblStylePr w:type="band1Horz">
      <w:rPr>
        <w:rFonts w:ascii="Arial" w:hAnsi="Arial"/>
        <w:color w:val="254175" w:themeColor="accent5" w:themeShade="95"/>
        <w:sz w:val="22"/>
      </w:rPr>
      <w:tblPr/>
      <w:tcPr>
        <w:shd w:val="clear" w:color="D8E2F3" w:fill="D8E2F3" w:themeFill="accent5" w:themeFillTint="34"/>
      </w:tcPr>
    </w:tblStylePr>
    <w:tblStylePr w:type="band2Horz">
      <w:rPr>
        <w:rFonts w:ascii="Arial" w:hAnsi="Arial"/>
        <w:color w:val="254175" w:themeColor="accent5" w:themeShade="95"/>
        <w:sz w:val="22"/>
      </w:rPr>
    </w:tblStylePr>
  </w:style>
  <w:style w:type="table" w:customStyle="1" w:styleId="GridTable6Colorful-Accent61">
    <w:name w:val="Grid Table 6 Colorful - Accent 61"/>
    <w:basedOn w:val="TableNormal"/>
    <w:uiPriority w:val="99"/>
    <w:pPr>
      <w:spacing w:after="0" w:line="240" w:lineRule="auto"/>
    </w:pPr>
    <w:tblPr>
      <w:tblStyleRowBandSize w:val="1"/>
      <w:tblStyleColBandSize w:val="1"/>
      <w:tblBorders>
        <w:top w:val="single" w:sz="4" w:space="0" w:color="70AD47" w:themeColor="accent6"/>
        <w:left w:val="single" w:sz="4" w:space="0" w:color="70AD47" w:themeColor="accent6"/>
        <w:bottom w:val="single" w:sz="4" w:space="0" w:color="70AD47" w:themeColor="accent6"/>
        <w:right w:val="single" w:sz="4" w:space="0" w:color="70AD47" w:themeColor="accent6"/>
        <w:insideH w:val="single" w:sz="4" w:space="0" w:color="70AD47" w:themeColor="accent6"/>
        <w:insideV w:val="single" w:sz="4" w:space="0" w:color="70AD47" w:themeColor="accent6"/>
      </w:tblBorders>
    </w:tblPr>
    <w:tblStylePr w:type="firstRow">
      <w:rPr>
        <w:b/>
        <w:color w:val="254175" w:themeColor="accent5" w:themeShade="95"/>
      </w:rPr>
      <w:tblPr/>
      <w:tcPr>
        <w:tcBorders>
          <w:bottom w:val="single" w:sz="12" w:space="0" w:color="70AD47" w:themeColor="accent6"/>
        </w:tcBorders>
      </w:tcPr>
    </w:tblStylePr>
    <w:tblStylePr w:type="lastRow">
      <w:rPr>
        <w:b/>
        <w:color w:val="254175" w:themeColor="accent5" w:themeShade="95"/>
      </w:rPr>
    </w:tblStylePr>
    <w:tblStylePr w:type="firstCol">
      <w:rPr>
        <w:b/>
        <w:color w:val="254175" w:themeColor="accent5" w:themeShade="95"/>
      </w:rPr>
    </w:tblStylePr>
    <w:tblStylePr w:type="lastCol">
      <w:rPr>
        <w:b/>
        <w:color w:val="254175" w:themeColor="accent5" w:themeShade="95"/>
      </w:rPr>
    </w:tblStylePr>
    <w:tblStylePr w:type="band1Vert">
      <w:tblPr/>
      <w:tcPr>
        <w:shd w:val="clear" w:color="E1EFD8" w:fill="E1EFD8" w:themeFill="accent6" w:themeFillTint="34"/>
      </w:tcPr>
    </w:tblStylePr>
    <w:tblStylePr w:type="band1Horz">
      <w:rPr>
        <w:rFonts w:ascii="Arial" w:hAnsi="Arial"/>
        <w:color w:val="254175" w:themeColor="accent5" w:themeShade="95"/>
        <w:sz w:val="22"/>
      </w:rPr>
      <w:tblPr/>
      <w:tcPr>
        <w:shd w:val="clear" w:color="E1EFD8" w:fill="E1EFD8" w:themeFill="accent6" w:themeFillTint="34"/>
      </w:tcPr>
    </w:tblStylePr>
    <w:tblStylePr w:type="band2Horz">
      <w:rPr>
        <w:rFonts w:ascii="Arial" w:hAnsi="Arial"/>
        <w:color w:val="254175" w:themeColor="accent5" w:themeShade="95"/>
        <w:sz w:val="22"/>
      </w:rPr>
    </w:tblStylePr>
  </w:style>
  <w:style w:type="table" w:customStyle="1" w:styleId="GridTable7Colorful-Accent11">
    <w:name w:val="Grid Table 7 Colorful - Accent 11"/>
    <w:basedOn w:val="TableNormal"/>
    <w:uiPriority w:val="99"/>
    <w:pPr>
      <w:spacing w:after="0" w:line="240" w:lineRule="auto"/>
    </w:pPr>
    <w:tblPr>
      <w:tblStyleRowBandSize w:val="1"/>
      <w:tblStyleColBandSize w:val="1"/>
      <w:tblBorders>
        <w:bottom w:val="single" w:sz="4" w:space="0" w:color="ACCCEA" w:themeColor="accent1" w:themeTint="80"/>
        <w:right w:val="single" w:sz="4" w:space="0" w:color="ACCCEA" w:themeColor="accent1" w:themeTint="80"/>
        <w:insideH w:val="single" w:sz="4" w:space="0" w:color="ACCCEA" w:themeColor="accent1" w:themeTint="80"/>
        <w:insideV w:val="single" w:sz="4" w:space="0" w:color="ACCCEA" w:themeColor="accent1" w:themeTint="80"/>
      </w:tblBorders>
    </w:tblPr>
    <w:tblStylePr w:type="firstRow">
      <w:rPr>
        <w:rFonts w:ascii="Arial" w:hAnsi="Arial"/>
        <w:b/>
        <w:color w:val="ACCCEA" w:themeColor="accent1" w:themeTint="80" w:themeShade="95"/>
        <w:sz w:val="22"/>
      </w:rPr>
      <w:tblPr/>
      <w:tcPr>
        <w:tcBorders>
          <w:top w:val="none" w:sz="4" w:space="0" w:color="000000"/>
          <w:left w:val="none" w:sz="4" w:space="0" w:color="000000"/>
          <w:bottom w:val="single" w:sz="4" w:space="0" w:color="ACCCEA" w:themeColor="accent1" w:themeTint="80"/>
          <w:right w:val="none" w:sz="4" w:space="0" w:color="000000"/>
        </w:tcBorders>
        <w:shd w:val="clear" w:color="FFFFFF" w:fill="FFFFFF" w:themeFill="light1"/>
      </w:tcPr>
    </w:tblStylePr>
    <w:tblStylePr w:type="lastRow">
      <w:rPr>
        <w:rFonts w:ascii="Arial" w:hAnsi="Arial"/>
        <w:b/>
        <w:color w:val="ACCCEA" w:themeColor="accent1" w:themeTint="80" w:themeShade="95"/>
        <w:sz w:val="22"/>
      </w:rPr>
      <w:tblPr/>
      <w:tcPr>
        <w:tcBorders>
          <w:top w:val="single" w:sz="4" w:space="0" w:color="ACCCEA" w:themeColor="accen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CCCEA" w:themeColor="accent1" w:themeTint="80" w:themeShade="95"/>
        <w:sz w:val="22"/>
      </w:rPr>
      <w:tblPr/>
      <w:tcPr>
        <w:tcBorders>
          <w:top w:val="none" w:sz="4" w:space="0" w:color="000000"/>
          <w:left w:val="none" w:sz="4" w:space="0" w:color="000000"/>
          <w:bottom w:val="none" w:sz="4" w:space="0" w:color="000000"/>
          <w:right w:val="single" w:sz="4" w:space="0" w:color="ACCCEA" w:themeColor="accent1" w:themeTint="80"/>
        </w:tcBorders>
        <w:shd w:val="clear" w:color="FFFFFF" w:fill="FFFFFF"/>
      </w:tcPr>
    </w:tblStylePr>
    <w:tblStylePr w:type="lastCol">
      <w:rPr>
        <w:rFonts w:ascii="Arial" w:hAnsi="Arial"/>
        <w:i/>
        <w:color w:val="ACCCEA" w:themeColor="accent1" w:themeTint="80" w:themeShade="95"/>
        <w:sz w:val="22"/>
      </w:rPr>
      <w:tblPr/>
      <w:tcPr>
        <w:tcBorders>
          <w:top w:val="none" w:sz="4" w:space="0" w:color="000000"/>
          <w:left w:val="single" w:sz="4" w:space="0" w:color="ACCCEA" w:themeColor="accent1" w:themeTint="80"/>
          <w:bottom w:val="none" w:sz="4" w:space="0" w:color="000000"/>
          <w:right w:val="none" w:sz="4" w:space="0" w:color="000000"/>
        </w:tcBorders>
        <w:shd w:val="clear" w:color="FFFFFF" w:fill="FFFFFF"/>
      </w:tcPr>
    </w:tblStylePr>
    <w:tblStylePr w:type="band1Vert">
      <w:tblPr/>
      <w:tcPr>
        <w:shd w:val="clear" w:color="DDEAF6" w:fill="DDEAF6" w:themeFill="accent1" w:themeFillTint="34"/>
      </w:tcPr>
    </w:tblStylePr>
    <w:tblStylePr w:type="band1Horz">
      <w:rPr>
        <w:rFonts w:ascii="Arial" w:hAnsi="Arial"/>
        <w:color w:val="ACCCEA" w:themeColor="accent1" w:themeTint="80" w:themeShade="95"/>
        <w:sz w:val="22"/>
      </w:rPr>
      <w:tblPr/>
      <w:tcPr>
        <w:shd w:val="clear" w:color="DDEAF6" w:fill="DDEAF6" w:themeFill="accent1" w:themeFillTint="34"/>
      </w:tcPr>
    </w:tblStylePr>
    <w:tblStylePr w:type="band2Horz">
      <w:rPr>
        <w:rFonts w:ascii="Arial" w:hAnsi="Arial"/>
        <w:color w:val="ACCCEA" w:themeColor="accent1" w:themeTint="80" w:themeShade="95"/>
        <w:sz w:val="22"/>
      </w:rPr>
    </w:tblStylePr>
  </w:style>
  <w:style w:type="table" w:customStyle="1" w:styleId="GridTable7Colorful-Accent21">
    <w:name w:val="Grid Table 7 Colorful - Accent 21"/>
    <w:basedOn w:val="TableNormal"/>
    <w:uiPriority w:val="99"/>
    <w:pPr>
      <w:spacing w:after="0" w:line="240" w:lineRule="auto"/>
    </w:pPr>
    <w:tblPr>
      <w:tblStyleRowBandSize w:val="1"/>
      <w:tblStyleColBandSize w:val="1"/>
      <w:tblBorders>
        <w:bottom w:val="single" w:sz="4" w:space="0" w:color="F4B184" w:themeColor="accent2" w:themeTint="97"/>
        <w:right w:val="single" w:sz="4" w:space="0" w:color="F4B184" w:themeColor="accent2" w:themeTint="97"/>
        <w:insideH w:val="single" w:sz="4" w:space="0" w:color="F4B184" w:themeColor="accent2" w:themeTint="97"/>
        <w:insideV w:val="single" w:sz="4" w:space="0" w:color="F4B184" w:themeColor="accent2" w:themeTint="97"/>
      </w:tblBorders>
    </w:tblPr>
    <w:tblStylePr w:type="firstRow">
      <w:rPr>
        <w:rFonts w:ascii="Arial" w:hAnsi="Arial"/>
        <w:b/>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fill="FFFFFF" w:themeFill="light1"/>
      </w:tcPr>
    </w:tblStylePr>
    <w:tblStylePr w:type="lastRow">
      <w:rPr>
        <w:rFonts w:ascii="Arial" w:hAnsi="Arial"/>
        <w:b/>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FFFFFF"/>
      </w:tcPr>
    </w:tblStylePr>
    <w:tblStylePr w:type="band1Vert">
      <w:tblPr/>
      <w:tcPr>
        <w:shd w:val="clear" w:color="FBE5D6" w:fill="FBE5D6" w:themeFill="accent2" w:themeFillTint="32"/>
      </w:tcPr>
    </w:tblStylePr>
    <w:tblStylePr w:type="band1Horz">
      <w:rPr>
        <w:rFonts w:ascii="Arial" w:hAnsi="Arial"/>
        <w:color w:val="F4B184" w:themeColor="accent2" w:themeTint="97" w:themeShade="95"/>
        <w:sz w:val="22"/>
      </w:rPr>
      <w:tblPr/>
      <w:tcPr>
        <w:shd w:val="clear" w:color="FBE5D6" w:fill="FBE5D6" w:themeFill="accent2" w:themeFillTint="32"/>
      </w:tcPr>
    </w:tblStylePr>
    <w:tblStylePr w:type="band2Horz">
      <w:rPr>
        <w:rFonts w:ascii="Arial" w:hAnsi="Arial"/>
        <w:color w:val="F4B184" w:themeColor="accent2" w:themeTint="97" w:themeShade="95"/>
        <w:sz w:val="22"/>
      </w:rPr>
    </w:tblStylePr>
  </w:style>
  <w:style w:type="table" w:customStyle="1" w:styleId="GridTable7Colorful-Accent31">
    <w:name w:val="Grid Table 7 Colorful - Accent 31"/>
    <w:basedOn w:val="TableNormal"/>
    <w:uiPriority w:val="99"/>
    <w:pPr>
      <w:spacing w:after="0" w:line="240" w:lineRule="auto"/>
    </w:pPr>
    <w:tblPr>
      <w:tblStyleRowBandSize w:val="1"/>
      <w:tblStyleColBandSize w:val="1"/>
      <w:tblBorders>
        <w:bottom w:val="single" w:sz="4" w:space="0" w:color="A5A5A5" w:themeColor="accent3" w:themeTint="FE"/>
        <w:right w:val="single" w:sz="4" w:space="0" w:color="A5A5A5" w:themeColor="accent3" w:themeTint="FE"/>
        <w:insideH w:val="single" w:sz="4" w:space="0" w:color="A5A5A5" w:themeColor="accent3" w:themeTint="FE"/>
        <w:insideV w:val="single" w:sz="4" w:space="0" w:color="A5A5A5" w:themeColor="accent3" w:themeTint="FE"/>
      </w:tblBorders>
    </w:tblPr>
    <w:tblStylePr w:type="firstRow">
      <w:rPr>
        <w:rFonts w:ascii="Arial" w:hAnsi="Arial"/>
        <w:b/>
        <w:color w:val="A5A5A5" w:themeColor="accent3" w:themeTint="FE" w:themeShade="95"/>
        <w:sz w:val="22"/>
      </w:rPr>
      <w:tblPr/>
      <w:tcPr>
        <w:tcBorders>
          <w:top w:val="none" w:sz="4" w:space="0" w:color="000000"/>
          <w:left w:val="none" w:sz="4" w:space="0" w:color="000000"/>
          <w:bottom w:val="single" w:sz="4" w:space="0" w:color="A5A5A5" w:themeColor="accent3" w:themeTint="FE"/>
          <w:right w:val="none" w:sz="4" w:space="0" w:color="000000"/>
        </w:tcBorders>
        <w:shd w:val="clear" w:color="FFFFFF" w:fill="FFFFFF" w:themeFill="light1"/>
      </w:tcPr>
    </w:tblStylePr>
    <w:tblStylePr w:type="lastRow">
      <w:rPr>
        <w:rFonts w:ascii="Arial" w:hAnsi="Arial"/>
        <w:b/>
        <w:color w:val="A5A5A5" w:themeColor="accent3" w:themeTint="FE" w:themeShade="95"/>
        <w:sz w:val="22"/>
      </w:rPr>
      <w:tblPr/>
      <w:tcPr>
        <w:tcBorders>
          <w:top w:val="single" w:sz="4" w:space="0" w:color="A5A5A5" w:themeColor="accent3" w:themeTint="FE"/>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5A5A5" w:themeColor="accent3" w:themeTint="FE" w:themeShade="95"/>
        <w:sz w:val="22"/>
      </w:rPr>
      <w:tblPr/>
      <w:tcPr>
        <w:tcBorders>
          <w:top w:val="none" w:sz="4" w:space="0" w:color="000000"/>
          <w:left w:val="none" w:sz="4" w:space="0" w:color="000000"/>
          <w:bottom w:val="none" w:sz="4" w:space="0" w:color="000000"/>
          <w:right w:val="single" w:sz="4" w:space="0" w:color="A5A5A5" w:themeColor="accent3" w:themeTint="FE"/>
        </w:tcBorders>
        <w:shd w:val="clear" w:color="FFFFFF" w:fill="FFFFFF"/>
      </w:tcPr>
    </w:tblStylePr>
    <w:tblStylePr w:type="lastCol">
      <w:rPr>
        <w:rFonts w:ascii="Arial" w:hAnsi="Arial"/>
        <w:i/>
        <w:color w:val="A5A5A5" w:themeColor="accent3" w:themeTint="FE" w:themeShade="95"/>
        <w:sz w:val="22"/>
      </w:rPr>
      <w:tblPr/>
      <w:tcPr>
        <w:tcBorders>
          <w:top w:val="none" w:sz="4" w:space="0" w:color="000000"/>
          <w:left w:val="single" w:sz="4" w:space="0" w:color="A5A5A5" w:themeColor="accent3" w:themeTint="FE"/>
          <w:bottom w:val="none" w:sz="4" w:space="0" w:color="000000"/>
          <w:right w:val="none" w:sz="4" w:space="0" w:color="000000"/>
        </w:tcBorders>
        <w:shd w:val="clear" w:color="FFFFFF" w:fill="FFFFFF"/>
      </w:tcPr>
    </w:tblStylePr>
    <w:tblStylePr w:type="band1Vert">
      <w:tblPr/>
      <w:tcPr>
        <w:shd w:val="clear" w:color="ECECEC" w:fill="ECECEC" w:themeFill="accent3" w:themeFillTint="34"/>
      </w:tcPr>
    </w:tblStylePr>
    <w:tblStylePr w:type="band1Horz">
      <w:rPr>
        <w:rFonts w:ascii="Arial" w:hAnsi="Arial"/>
        <w:color w:val="A5A5A5" w:themeColor="accent3" w:themeTint="FE" w:themeShade="95"/>
        <w:sz w:val="22"/>
      </w:rPr>
      <w:tblPr/>
      <w:tcPr>
        <w:shd w:val="clear" w:color="ECECEC" w:fill="ECECEC" w:themeFill="accent3" w:themeFillTint="34"/>
      </w:tcPr>
    </w:tblStylePr>
    <w:tblStylePr w:type="band2Horz">
      <w:rPr>
        <w:rFonts w:ascii="Arial" w:hAnsi="Arial"/>
        <w:color w:val="A5A5A5" w:themeColor="accent3" w:themeTint="FE" w:themeShade="95"/>
        <w:sz w:val="22"/>
      </w:rPr>
    </w:tblStylePr>
  </w:style>
  <w:style w:type="table" w:customStyle="1" w:styleId="GridTable7Colorful-Accent41">
    <w:name w:val="Grid Table 7 Colorful - Accent 41"/>
    <w:basedOn w:val="TableNormal"/>
    <w:uiPriority w:val="99"/>
    <w:pPr>
      <w:spacing w:after="0" w:line="240" w:lineRule="auto"/>
    </w:pPr>
    <w:tblPr>
      <w:tblStyleRowBandSize w:val="1"/>
      <w:tblStyleColBandSize w:val="1"/>
      <w:tblBorders>
        <w:bottom w:val="single" w:sz="4" w:space="0" w:color="FFD865" w:themeColor="accent4" w:themeTint="9A"/>
        <w:right w:val="single" w:sz="4" w:space="0" w:color="FFD865" w:themeColor="accent4" w:themeTint="9A"/>
        <w:insideH w:val="single" w:sz="4" w:space="0" w:color="FFD865" w:themeColor="accent4" w:themeTint="9A"/>
        <w:insideV w:val="single" w:sz="4" w:space="0" w:color="FFD865" w:themeColor="accent4" w:themeTint="9A"/>
      </w:tblBorders>
    </w:tblPr>
    <w:tblStylePr w:type="firstRow">
      <w:rPr>
        <w:rFonts w:ascii="Arial" w:hAnsi="Arial"/>
        <w:b/>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fill="FFFFFF" w:themeFill="light1"/>
      </w:tcPr>
    </w:tblStylePr>
    <w:tblStylePr w:type="lastRow">
      <w:rPr>
        <w:rFonts w:ascii="Arial" w:hAnsi="Arial"/>
        <w:b/>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FFFFFF"/>
      </w:tcPr>
    </w:tblStylePr>
    <w:tblStylePr w:type="band1Vert">
      <w:tblPr/>
      <w:tcPr>
        <w:shd w:val="clear" w:color="FFF2CB" w:fill="FFF2CB" w:themeFill="accent4" w:themeFillTint="34"/>
      </w:tcPr>
    </w:tblStylePr>
    <w:tblStylePr w:type="band1Horz">
      <w:rPr>
        <w:rFonts w:ascii="Arial" w:hAnsi="Arial"/>
        <w:color w:val="FFD865" w:themeColor="accent4" w:themeTint="9A" w:themeShade="95"/>
        <w:sz w:val="22"/>
      </w:rPr>
      <w:tblPr/>
      <w:tcPr>
        <w:shd w:val="clear" w:color="FFF2CB" w:fill="FFF2CB" w:themeFill="accent4" w:themeFillTint="34"/>
      </w:tcPr>
    </w:tblStylePr>
    <w:tblStylePr w:type="band2Horz">
      <w:rPr>
        <w:rFonts w:ascii="Arial" w:hAnsi="Arial"/>
        <w:color w:val="FFD865" w:themeColor="accent4" w:themeTint="9A" w:themeShade="95"/>
        <w:sz w:val="22"/>
      </w:rPr>
    </w:tblStylePr>
  </w:style>
  <w:style w:type="table" w:customStyle="1" w:styleId="GridTable7Colorful-Accent51">
    <w:name w:val="Grid Table 7 Colorful - Accent 51"/>
    <w:basedOn w:val="TableNormal"/>
    <w:uiPriority w:val="99"/>
    <w:pPr>
      <w:spacing w:after="0" w:line="240" w:lineRule="auto"/>
    </w:pPr>
    <w:tblPr>
      <w:tblStyleRowBandSize w:val="1"/>
      <w:tblStyleColBandSize w:val="1"/>
      <w:tblBorders>
        <w:bottom w:val="single" w:sz="4" w:space="0" w:color="95AFDD" w:themeColor="accent5" w:themeTint="90"/>
        <w:right w:val="single" w:sz="4" w:space="0" w:color="95AFDD" w:themeColor="accent5" w:themeTint="90"/>
        <w:insideH w:val="single" w:sz="4" w:space="0" w:color="95AFDD" w:themeColor="accent5" w:themeTint="90"/>
        <w:insideV w:val="single" w:sz="4" w:space="0" w:color="95AFDD" w:themeColor="accent5" w:themeTint="90"/>
      </w:tblBorders>
    </w:tblPr>
    <w:tblStylePr w:type="firstRow">
      <w:rPr>
        <w:rFonts w:ascii="Arial" w:hAnsi="Arial"/>
        <w:b/>
        <w:color w:val="254175" w:themeColor="accent5" w:themeShade="95"/>
        <w:sz w:val="22"/>
      </w:rPr>
      <w:tblPr/>
      <w:tcPr>
        <w:tcBorders>
          <w:top w:val="none" w:sz="4" w:space="0" w:color="000000"/>
          <w:left w:val="none" w:sz="4" w:space="0" w:color="000000"/>
          <w:bottom w:val="single" w:sz="4" w:space="0" w:color="95AFDD" w:themeColor="accent5" w:themeTint="90"/>
          <w:right w:val="none" w:sz="4" w:space="0" w:color="000000"/>
        </w:tcBorders>
        <w:shd w:val="clear" w:color="FFFFFF" w:fill="FFFFFF" w:themeFill="light1"/>
      </w:tcPr>
    </w:tblStylePr>
    <w:tblStylePr w:type="lastRow">
      <w:rPr>
        <w:rFonts w:ascii="Arial" w:hAnsi="Arial"/>
        <w:b/>
        <w:color w:val="254175" w:themeColor="accent5" w:themeShade="95"/>
        <w:sz w:val="22"/>
      </w:rPr>
      <w:tblPr/>
      <w:tcPr>
        <w:tcBorders>
          <w:top w:val="single" w:sz="4" w:space="0" w:color="95AFDD" w:themeColor="accent5"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54175" w:themeColor="accent5" w:themeShade="95"/>
        <w:sz w:val="22"/>
      </w:rPr>
      <w:tblPr/>
      <w:tcPr>
        <w:tcBorders>
          <w:top w:val="none" w:sz="4" w:space="0" w:color="000000"/>
          <w:left w:val="none" w:sz="4" w:space="0" w:color="000000"/>
          <w:bottom w:val="none" w:sz="4" w:space="0" w:color="000000"/>
          <w:right w:val="single" w:sz="4" w:space="0" w:color="95AFDD" w:themeColor="accent5" w:themeTint="90"/>
        </w:tcBorders>
        <w:shd w:val="clear" w:color="FFFFFF" w:fill="FFFFFF"/>
      </w:tcPr>
    </w:tblStylePr>
    <w:tblStylePr w:type="lastCol">
      <w:rPr>
        <w:rFonts w:ascii="Arial" w:hAnsi="Arial"/>
        <w:i/>
        <w:color w:val="254175" w:themeColor="accent5" w:themeShade="95"/>
        <w:sz w:val="22"/>
      </w:rPr>
      <w:tblPr/>
      <w:tcPr>
        <w:tcBorders>
          <w:top w:val="none" w:sz="4" w:space="0" w:color="000000"/>
          <w:left w:val="single" w:sz="4" w:space="0" w:color="95AFDD" w:themeColor="accent5" w:themeTint="90"/>
          <w:bottom w:val="none" w:sz="4" w:space="0" w:color="000000"/>
          <w:right w:val="none" w:sz="4" w:space="0" w:color="000000"/>
        </w:tcBorders>
        <w:shd w:val="clear" w:color="FFFFFF" w:fill="FFFFFF"/>
      </w:tcPr>
    </w:tblStylePr>
    <w:tblStylePr w:type="band1Vert">
      <w:tblPr/>
      <w:tcPr>
        <w:shd w:val="clear" w:color="D8E2F3" w:fill="D8E2F3" w:themeFill="accent5" w:themeFillTint="34"/>
      </w:tcPr>
    </w:tblStylePr>
    <w:tblStylePr w:type="band1Horz">
      <w:rPr>
        <w:rFonts w:ascii="Arial" w:hAnsi="Arial"/>
        <w:color w:val="254175" w:themeColor="accent5" w:themeShade="95"/>
        <w:sz w:val="22"/>
      </w:rPr>
      <w:tblPr/>
      <w:tcPr>
        <w:shd w:val="clear" w:color="D8E2F3" w:fill="D8E2F3" w:themeFill="accent5" w:themeFillTint="34"/>
      </w:tcPr>
    </w:tblStylePr>
    <w:tblStylePr w:type="band2Horz">
      <w:rPr>
        <w:rFonts w:ascii="Arial" w:hAnsi="Arial"/>
        <w:color w:val="254175" w:themeColor="accent5" w:themeShade="95"/>
        <w:sz w:val="22"/>
      </w:rPr>
    </w:tblStylePr>
  </w:style>
  <w:style w:type="table" w:customStyle="1" w:styleId="GridTable7Colorful-Accent61">
    <w:name w:val="Grid Table 7 Colorful - Accent 61"/>
    <w:basedOn w:val="TableNormal"/>
    <w:uiPriority w:val="99"/>
    <w:pPr>
      <w:spacing w:after="0" w:line="240" w:lineRule="auto"/>
    </w:pPr>
    <w:tblPr>
      <w:tblStyleRowBandSize w:val="1"/>
      <w:tblStyleColBandSize w:val="1"/>
      <w:tblBorders>
        <w:bottom w:val="single" w:sz="4" w:space="0" w:color="ADD394" w:themeColor="accent6" w:themeTint="90"/>
        <w:right w:val="single" w:sz="4" w:space="0" w:color="ADD394" w:themeColor="accent6" w:themeTint="90"/>
        <w:insideH w:val="single" w:sz="4" w:space="0" w:color="ADD394" w:themeColor="accent6" w:themeTint="90"/>
        <w:insideV w:val="single" w:sz="4" w:space="0" w:color="ADD394" w:themeColor="accent6" w:themeTint="90"/>
      </w:tblBorders>
    </w:tblPr>
    <w:tblStylePr w:type="firstRow">
      <w:rPr>
        <w:rFonts w:ascii="Arial" w:hAnsi="Arial"/>
        <w:b/>
        <w:color w:val="416429" w:themeColor="accent6" w:themeShade="95"/>
        <w:sz w:val="22"/>
      </w:rPr>
      <w:tblPr/>
      <w:tcPr>
        <w:tcBorders>
          <w:top w:val="none" w:sz="4" w:space="0" w:color="000000"/>
          <w:left w:val="none" w:sz="4" w:space="0" w:color="000000"/>
          <w:bottom w:val="single" w:sz="4" w:space="0" w:color="ADD394" w:themeColor="accent6" w:themeTint="90"/>
          <w:right w:val="none" w:sz="4" w:space="0" w:color="000000"/>
        </w:tcBorders>
        <w:shd w:val="clear" w:color="FFFFFF" w:fill="FFFFFF" w:themeFill="light1"/>
      </w:tcPr>
    </w:tblStylePr>
    <w:tblStylePr w:type="lastRow">
      <w:rPr>
        <w:rFonts w:ascii="Arial" w:hAnsi="Arial"/>
        <w:b/>
        <w:color w:val="416429" w:themeColor="accent6" w:themeShade="95"/>
        <w:sz w:val="22"/>
      </w:rPr>
      <w:tblPr/>
      <w:tcPr>
        <w:tcBorders>
          <w:top w:val="single" w:sz="4" w:space="0" w:color="ADD394" w:themeColor="accent6" w:themeTint="9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416429" w:themeColor="accent6" w:themeShade="95"/>
        <w:sz w:val="22"/>
      </w:rPr>
      <w:tblPr/>
      <w:tcPr>
        <w:tcBorders>
          <w:top w:val="none" w:sz="4" w:space="0" w:color="000000"/>
          <w:left w:val="none" w:sz="4" w:space="0" w:color="000000"/>
          <w:bottom w:val="none" w:sz="4" w:space="0" w:color="000000"/>
          <w:right w:val="single" w:sz="4" w:space="0" w:color="ADD394" w:themeColor="accent6" w:themeTint="90"/>
        </w:tcBorders>
        <w:shd w:val="clear" w:color="FFFFFF" w:fill="FFFFFF"/>
      </w:tcPr>
    </w:tblStylePr>
    <w:tblStylePr w:type="lastCol">
      <w:rPr>
        <w:rFonts w:ascii="Arial" w:hAnsi="Arial"/>
        <w:i/>
        <w:color w:val="416429" w:themeColor="accent6" w:themeShade="95"/>
        <w:sz w:val="22"/>
      </w:rPr>
      <w:tblPr/>
      <w:tcPr>
        <w:tcBorders>
          <w:top w:val="none" w:sz="4" w:space="0" w:color="000000"/>
          <w:left w:val="single" w:sz="4" w:space="0" w:color="ADD394" w:themeColor="accent6" w:themeTint="90"/>
          <w:bottom w:val="none" w:sz="4" w:space="0" w:color="000000"/>
          <w:right w:val="none" w:sz="4" w:space="0" w:color="000000"/>
        </w:tcBorders>
        <w:shd w:val="clear" w:color="FFFFFF" w:fill="FFFFFF"/>
      </w:tcPr>
    </w:tblStylePr>
    <w:tblStylePr w:type="band1Vert">
      <w:tblPr/>
      <w:tcPr>
        <w:shd w:val="clear" w:color="E1EFD8" w:fill="E1EFD8" w:themeFill="accent6" w:themeFillTint="34"/>
      </w:tcPr>
    </w:tblStylePr>
    <w:tblStylePr w:type="band1Horz">
      <w:rPr>
        <w:rFonts w:ascii="Arial" w:hAnsi="Arial"/>
        <w:color w:val="416429" w:themeColor="accent6" w:themeShade="95"/>
        <w:sz w:val="22"/>
      </w:rPr>
      <w:tblPr/>
      <w:tcPr>
        <w:shd w:val="clear" w:color="E1EFD8" w:fill="E1EFD8" w:themeFill="accent6" w:themeFillTint="34"/>
      </w:tcPr>
    </w:tblStylePr>
    <w:tblStylePr w:type="band2Horz">
      <w:rPr>
        <w:rFonts w:ascii="Arial" w:hAnsi="Arial"/>
        <w:color w:val="416429" w:themeColor="accent6" w:themeShade="95"/>
        <w:sz w:val="22"/>
      </w:rPr>
    </w:tblStylePr>
  </w:style>
  <w:style w:type="table" w:customStyle="1" w:styleId="ListTable1Light-Accent11">
    <w:name w:val="List Table 1 Light - Accent 11"/>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5B9BD5" w:themeColor="accent1"/>
          <w:right w:val="none" w:sz="4" w:space="0" w:color="000000"/>
        </w:tcBorders>
      </w:tcPr>
    </w:tblStylePr>
    <w:tblStylePr w:type="lastRow">
      <w:rPr>
        <w:b/>
        <w:color w:val="404040"/>
      </w:rPr>
      <w:tblPr/>
      <w:tcPr>
        <w:tcBorders>
          <w:top w:val="single" w:sz="4" w:space="0" w:color="5B9BD5" w:themeColor="accen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5E5F4" w:fill="D5E5F4" w:themeFill="accent1" w:themeFillTint="40"/>
      </w:tcPr>
    </w:tblStylePr>
    <w:tblStylePr w:type="band1Horz">
      <w:tblPr/>
      <w:tcPr>
        <w:shd w:val="clear" w:color="D5E5F4" w:fill="D5E5F4" w:themeFill="accent1" w:themeFillTint="40"/>
      </w:tcPr>
    </w:tblStylePr>
  </w:style>
  <w:style w:type="table" w:customStyle="1" w:styleId="ListTable1Light-Accent21">
    <w:name w:val="List Table 1 Light - Accent 21"/>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ED7D31" w:themeColor="accent2"/>
          <w:right w:val="none" w:sz="4" w:space="0" w:color="000000"/>
        </w:tcBorders>
      </w:tcPr>
    </w:tblStylePr>
    <w:tblStylePr w:type="lastRow">
      <w:rPr>
        <w:b/>
        <w:color w:val="404040"/>
      </w:rPr>
      <w:tblPr/>
      <w:tcPr>
        <w:tcBorders>
          <w:top w:val="single" w:sz="4" w:space="0" w:color="ED7D31" w:themeColor="accent2"/>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ADECB" w:fill="FADECB" w:themeFill="accent2" w:themeFillTint="40"/>
      </w:tcPr>
    </w:tblStylePr>
    <w:tblStylePr w:type="band1Horz">
      <w:tblPr/>
      <w:tcPr>
        <w:shd w:val="clear" w:color="FADECB" w:fill="FADECB" w:themeFill="accent2" w:themeFillTint="40"/>
      </w:tcPr>
    </w:tblStylePr>
  </w:style>
  <w:style w:type="table" w:customStyle="1" w:styleId="ListTable1Light-Accent31">
    <w:name w:val="List Table 1 Light - Accent 31"/>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A5A5A5" w:themeColor="accent3"/>
          <w:right w:val="none" w:sz="4" w:space="0" w:color="000000"/>
        </w:tcBorders>
      </w:tcPr>
    </w:tblStylePr>
    <w:tblStylePr w:type="lastRow">
      <w:rPr>
        <w:b/>
        <w:color w:val="404040"/>
      </w:rPr>
      <w:tblPr/>
      <w:tcPr>
        <w:tcBorders>
          <w:top w:val="single" w:sz="4" w:space="0" w:color="A5A5A5" w:themeColor="accent3"/>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E8E8E8" w:fill="E8E8E8" w:themeFill="accent3" w:themeFillTint="40"/>
      </w:tcPr>
    </w:tblStylePr>
    <w:tblStylePr w:type="band1Horz">
      <w:tblPr/>
      <w:tcPr>
        <w:shd w:val="clear" w:color="E8E8E8" w:fill="E8E8E8" w:themeFill="accent3" w:themeFillTint="40"/>
      </w:tcPr>
    </w:tblStylePr>
  </w:style>
  <w:style w:type="table" w:customStyle="1" w:styleId="ListTable1Light-Accent41">
    <w:name w:val="List Table 1 Light - Accent 41"/>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FFC000" w:themeColor="accent4"/>
          <w:right w:val="none" w:sz="4" w:space="0" w:color="000000"/>
        </w:tcBorders>
      </w:tcPr>
    </w:tblStylePr>
    <w:tblStylePr w:type="lastRow">
      <w:rPr>
        <w:b/>
        <w:color w:val="404040"/>
      </w:rPr>
      <w:tblPr/>
      <w:tcPr>
        <w:tcBorders>
          <w:top w:val="single" w:sz="4" w:space="0" w:color="FFC000" w:themeColor="accent4"/>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FFEFBF" w:fill="FFEFBF" w:themeFill="accent4" w:themeFillTint="40"/>
      </w:tcPr>
    </w:tblStylePr>
    <w:tblStylePr w:type="band1Horz">
      <w:tblPr/>
      <w:tcPr>
        <w:shd w:val="clear" w:color="FFEFBF" w:fill="FFEFBF" w:themeFill="accent4" w:themeFillTint="40"/>
      </w:tcPr>
    </w:tblStylePr>
  </w:style>
  <w:style w:type="table" w:customStyle="1" w:styleId="ListTable1Light-Accent51">
    <w:name w:val="List Table 1 Light - Accent 51"/>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4472C4" w:themeColor="accent5"/>
          <w:right w:val="none" w:sz="4" w:space="0" w:color="000000"/>
        </w:tcBorders>
      </w:tcPr>
    </w:tblStylePr>
    <w:tblStylePr w:type="lastRow">
      <w:rPr>
        <w:b/>
        <w:color w:val="404040"/>
      </w:rPr>
      <w:tblPr/>
      <w:tcPr>
        <w:tcBorders>
          <w:top w:val="single" w:sz="4" w:space="0" w:color="4472C4" w:themeColor="accent5"/>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CFDBF0" w:fill="CFDBF0" w:themeFill="accent5" w:themeFillTint="40"/>
      </w:tcPr>
    </w:tblStylePr>
    <w:tblStylePr w:type="band1Horz">
      <w:tblPr/>
      <w:tcPr>
        <w:shd w:val="clear" w:color="CFDBF0" w:fill="CFDBF0" w:themeFill="accent5" w:themeFillTint="40"/>
      </w:tcPr>
    </w:tblStylePr>
  </w:style>
  <w:style w:type="table" w:customStyle="1" w:styleId="ListTable1Light-Accent61">
    <w:name w:val="List Table 1 Light - Accent 61"/>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70AD47" w:themeColor="accent6"/>
          <w:right w:val="none" w:sz="4" w:space="0" w:color="000000"/>
        </w:tcBorders>
      </w:tcPr>
    </w:tblStylePr>
    <w:tblStylePr w:type="lastRow">
      <w:rPr>
        <w:b/>
        <w:color w:val="404040"/>
      </w:rPr>
      <w:tblPr/>
      <w:tcPr>
        <w:tcBorders>
          <w:top w:val="single" w:sz="4" w:space="0" w:color="70AD47" w:themeColor="accent6"/>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DAEBCF" w:fill="DAEBCF" w:themeFill="accent6" w:themeFillTint="40"/>
      </w:tcPr>
    </w:tblStylePr>
    <w:tblStylePr w:type="band1Horz">
      <w:tblPr/>
      <w:tcPr>
        <w:shd w:val="clear" w:color="DAEBCF" w:fill="DAEBCF" w:themeFill="accent6" w:themeFillTint="40"/>
      </w:tcPr>
    </w:tblStylePr>
  </w:style>
  <w:style w:type="table" w:customStyle="1" w:styleId="ListTable2-Accent11">
    <w:name w:val="List Table 2 - Accent 11"/>
    <w:basedOn w:val="TableNormal"/>
    <w:uiPriority w:val="99"/>
    <w:pPr>
      <w:spacing w:after="0" w:line="240" w:lineRule="auto"/>
    </w:pPr>
    <w:tblPr>
      <w:tblStyleRowBandSize w:val="1"/>
      <w:tblStyleColBandSize w:val="1"/>
      <w:tblBorders>
        <w:top w:val="single" w:sz="4" w:space="0" w:color="A2C6E7" w:themeColor="accent1" w:themeTint="90"/>
        <w:bottom w:val="single" w:sz="4" w:space="0" w:color="A2C6E7" w:themeColor="accent1" w:themeTint="90"/>
        <w:insideH w:val="single" w:sz="4" w:space="0" w:color="A2C6E7" w:themeColor="accent1" w:themeTint="90"/>
      </w:tblBorders>
    </w:tblPr>
    <w:tblStylePr w:type="fir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lastRow">
      <w:rPr>
        <w:rFonts w:ascii="Arial" w:hAnsi="Arial"/>
        <w:b/>
        <w:color w:val="404040"/>
        <w:sz w:val="22"/>
      </w:rPr>
      <w:tblPr/>
      <w:tcPr>
        <w:tcBorders>
          <w:top w:val="single" w:sz="4" w:space="0" w:color="A2C6E7" w:themeColor="accent1" w:themeTint="90"/>
          <w:left w:val="none" w:sz="4" w:space="0" w:color="000000"/>
          <w:bottom w:val="single" w:sz="4" w:space="0" w:color="A2C6E7" w:themeColor="accen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5E5F4" w:fill="D5E5F4" w:themeFill="accent1" w:themeFillTint="40"/>
      </w:tcPr>
    </w:tblStylePr>
    <w:tblStylePr w:type="band1Horz">
      <w:rPr>
        <w:rFonts w:ascii="Arial" w:hAnsi="Arial"/>
        <w:color w:val="404040"/>
        <w:sz w:val="22"/>
      </w:rPr>
      <w:tblPr/>
      <w:tcPr>
        <w:shd w:val="clear" w:color="D5E5F4" w:fill="D5E5F4" w:themeFill="accent1" w:themeFillTint="40"/>
      </w:tcPr>
    </w:tblStylePr>
  </w:style>
  <w:style w:type="table" w:customStyle="1" w:styleId="ListTable2-Accent21">
    <w:name w:val="List Table 2 - Accent 21"/>
    <w:basedOn w:val="TableNormal"/>
    <w:uiPriority w:val="99"/>
    <w:pPr>
      <w:spacing w:after="0" w:line="240" w:lineRule="auto"/>
    </w:pPr>
    <w:tblPr>
      <w:tblStyleRowBandSize w:val="1"/>
      <w:tblStyleColBandSize w:val="1"/>
      <w:tblBorders>
        <w:top w:val="single" w:sz="4" w:space="0" w:color="F4B58A" w:themeColor="accent2" w:themeTint="90"/>
        <w:bottom w:val="single" w:sz="4" w:space="0" w:color="F4B58A" w:themeColor="accent2" w:themeTint="90"/>
        <w:insideH w:val="single" w:sz="4" w:space="0" w:color="F4B58A" w:themeColor="accent2" w:themeTint="90"/>
      </w:tblBorders>
    </w:tblPr>
    <w:tblStylePr w:type="fir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lastRow">
      <w:rPr>
        <w:rFonts w:ascii="Arial" w:hAnsi="Arial"/>
        <w:b/>
        <w:color w:val="404040"/>
        <w:sz w:val="22"/>
      </w:rPr>
      <w:tblPr/>
      <w:tcPr>
        <w:tcBorders>
          <w:top w:val="single" w:sz="4" w:space="0" w:color="F4B58A" w:themeColor="accent2" w:themeTint="90"/>
          <w:left w:val="none" w:sz="4" w:space="0" w:color="000000"/>
          <w:bottom w:val="single" w:sz="4" w:space="0" w:color="F4B58A" w:themeColor="accent2"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ADECB" w:fill="FADECB" w:themeFill="accent2" w:themeFillTint="40"/>
      </w:tcPr>
    </w:tblStylePr>
    <w:tblStylePr w:type="band1Horz">
      <w:rPr>
        <w:rFonts w:ascii="Arial" w:hAnsi="Arial"/>
        <w:color w:val="404040"/>
        <w:sz w:val="22"/>
      </w:rPr>
      <w:tblPr/>
      <w:tcPr>
        <w:shd w:val="clear" w:color="FADECB" w:fill="FADECB" w:themeFill="accent2" w:themeFillTint="40"/>
      </w:tcPr>
    </w:tblStylePr>
  </w:style>
  <w:style w:type="table" w:customStyle="1" w:styleId="ListTable2-Accent31">
    <w:name w:val="List Table 2 - Accent 31"/>
    <w:basedOn w:val="TableNormal"/>
    <w:uiPriority w:val="99"/>
    <w:pPr>
      <w:spacing w:after="0" w:line="240" w:lineRule="auto"/>
    </w:pPr>
    <w:tblPr>
      <w:tblStyleRowBandSize w:val="1"/>
      <w:tblStyleColBandSize w:val="1"/>
      <w:tblBorders>
        <w:top w:val="single" w:sz="4" w:space="0" w:color="CCCCCC" w:themeColor="accent3" w:themeTint="90"/>
        <w:bottom w:val="single" w:sz="4" w:space="0" w:color="CCCCCC" w:themeColor="accent3" w:themeTint="90"/>
        <w:insideH w:val="single" w:sz="4" w:space="0" w:color="CCCCCC" w:themeColor="accent3" w:themeTint="90"/>
      </w:tblBorders>
    </w:tblPr>
    <w:tblStylePr w:type="fir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lastRow">
      <w:rPr>
        <w:rFonts w:ascii="Arial" w:hAnsi="Arial"/>
        <w:b/>
        <w:color w:val="404040"/>
        <w:sz w:val="22"/>
      </w:rPr>
      <w:tblPr/>
      <w:tcPr>
        <w:tcBorders>
          <w:top w:val="single" w:sz="4" w:space="0" w:color="CCCCCC" w:themeColor="accent3" w:themeTint="90"/>
          <w:left w:val="none" w:sz="4" w:space="0" w:color="000000"/>
          <w:bottom w:val="single" w:sz="4" w:space="0" w:color="CCCCCC" w:themeColor="accent3"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E8E8E8" w:fill="E8E8E8" w:themeFill="accent3" w:themeFillTint="40"/>
      </w:tcPr>
    </w:tblStylePr>
    <w:tblStylePr w:type="band1Horz">
      <w:rPr>
        <w:rFonts w:ascii="Arial" w:hAnsi="Arial"/>
        <w:color w:val="404040"/>
        <w:sz w:val="22"/>
      </w:rPr>
      <w:tblPr/>
      <w:tcPr>
        <w:shd w:val="clear" w:color="E8E8E8" w:fill="E8E8E8" w:themeFill="accent3" w:themeFillTint="40"/>
      </w:tcPr>
    </w:tblStylePr>
  </w:style>
  <w:style w:type="table" w:customStyle="1" w:styleId="ListTable2-Accent41">
    <w:name w:val="List Table 2 - Accent 41"/>
    <w:basedOn w:val="TableNormal"/>
    <w:uiPriority w:val="99"/>
    <w:pPr>
      <w:spacing w:after="0" w:line="240" w:lineRule="auto"/>
    </w:pPr>
    <w:tblPr>
      <w:tblStyleRowBandSize w:val="1"/>
      <w:tblStyleColBandSize w:val="1"/>
      <w:tblBorders>
        <w:top w:val="single" w:sz="4" w:space="0" w:color="FFDB6F" w:themeColor="accent4" w:themeTint="90"/>
        <w:bottom w:val="single" w:sz="4" w:space="0" w:color="FFDB6F" w:themeColor="accent4" w:themeTint="90"/>
        <w:insideH w:val="single" w:sz="4" w:space="0" w:color="FFDB6F" w:themeColor="accent4" w:themeTint="90"/>
      </w:tblBorders>
    </w:tblPr>
    <w:tblStylePr w:type="fir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lastRow">
      <w:rPr>
        <w:rFonts w:ascii="Arial" w:hAnsi="Arial"/>
        <w:b/>
        <w:color w:val="404040"/>
        <w:sz w:val="22"/>
      </w:rPr>
      <w:tblPr/>
      <w:tcPr>
        <w:tcBorders>
          <w:top w:val="single" w:sz="4" w:space="0" w:color="FFDB6F" w:themeColor="accent4" w:themeTint="90"/>
          <w:left w:val="none" w:sz="4" w:space="0" w:color="000000"/>
          <w:bottom w:val="single" w:sz="4" w:space="0" w:color="FFDB6F" w:themeColor="accent4"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FFEFBF" w:fill="FFEFBF" w:themeFill="accent4" w:themeFillTint="40"/>
      </w:tcPr>
    </w:tblStylePr>
    <w:tblStylePr w:type="band1Horz">
      <w:rPr>
        <w:rFonts w:ascii="Arial" w:hAnsi="Arial"/>
        <w:color w:val="404040"/>
        <w:sz w:val="22"/>
      </w:rPr>
      <w:tblPr/>
      <w:tcPr>
        <w:shd w:val="clear" w:color="FFEFBF" w:fill="FFEFBF" w:themeFill="accent4" w:themeFillTint="40"/>
      </w:tcPr>
    </w:tblStylePr>
  </w:style>
  <w:style w:type="table" w:customStyle="1" w:styleId="ListTable2-Accent51">
    <w:name w:val="List Table 2 - Accent 51"/>
    <w:basedOn w:val="TableNormal"/>
    <w:uiPriority w:val="99"/>
    <w:pPr>
      <w:spacing w:after="0" w:line="240" w:lineRule="auto"/>
    </w:pPr>
    <w:tblPr>
      <w:tblStyleRowBandSize w:val="1"/>
      <w:tblStyleColBandSize w:val="1"/>
      <w:tblBorders>
        <w:top w:val="single" w:sz="4" w:space="0" w:color="95AFDD" w:themeColor="accent5" w:themeTint="90"/>
        <w:bottom w:val="single" w:sz="4" w:space="0" w:color="95AFDD" w:themeColor="accent5" w:themeTint="90"/>
        <w:insideH w:val="single" w:sz="4" w:space="0" w:color="95AFDD" w:themeColor="accent5" w:themeTint="90"/>
      </w:tblBorders>
    </w:tblPr>
    <w:tblStylePr w:type="fir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lastRow">
      <w:rPr>
        <w:rFonts w:ascii="Arial" w:hAnsi="Arial"/>
        <w:b/>
        <w:color w:val="404040"/>
        <w:sz w:val="22"/>
      </w:rPr>
      <w:tblPr/>
      <w:tcPr>
        <w:tcBorders>
          <w:top w:val="single" w:sz="4" w:space="0" w:color="95AFDD" w:themeColor="accent5" w:themeTint="90"/>
          <w:left w:val="none" w:sz="4" w:space="0" w:color="000000"/>
          <w:bottom w:val="single" w:sz="4" w:space="0" w:color="95AFDD" w:themeColor="accent5"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CFDBF0" w:fill="CFDBF0" w:themeFill="accent5" w:themeFillTint="40"/>
      </w:tcPr>
    </w:tblStylePr>
    <w:tblStylePr w:type="band1Horz">
      <w:rPr>
        <w:rFonts w:ascii="Arial" w:hAnsi="Arial"/>
        <w:color w:val="404040"/>
        <w:sz w:val="22"/>
      </w:rPr>
      <w:tblPr/>
      <w:tcPr>
        <w:shd w:val="clear" w:color="CFDBF0" w:fill="CFDBF0" w:themeFill="accent5" w:themeFillTint="40"/>
      </w:tcPr>
    </w:tblStylePr>
  </w:style>
  <w:style w:type="table" w:customStyle="1" w:styleId="ListTable2-Accent61">
    <w:name w:val="List Table 2 - Accent 61"/>
    <w:basedOn w:val="TableNormal"/>
    <w:uiPriority w:val="99"/>
    <w:pPr>
      <w:spacing w:after="0" w:line="240" w:lineRule="auto"/>
    </w:pPr>
    <w:tblPr>
      <w:tblStyleRowBandSize w:val="1"/>
      <w:tblStyleColBandSize w:val="1"/>
      <w:tblBorders>
        <w:top w:val="single" w:sz="4" w:space="0" w:color="ADD394" w:themeColor="accent6" w:themeTint="90"/>
        <w:bottom w:val="single" w:sz="4" w:space="0" w:color="ADD394" w:themeColor="accent6" w:themeTint="90"/>
        <w:insideH w:val="single" w:sz="4" w:space="0" w:color="ADD394" w:themeColor="accent6" w:themeTint="90"/>
      </w:tblBorders>
    </w:tblPr>
    <w:tblStylePr w:type="fir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lastRow">
      <w:rPr>
        <w:rFonts w:ascii="Arial" w:hAnsi="Arial"/>
        <w:b/>
        <w:color w:val="404040"/>
        <w:sz w:val="22"/>
      </w:rPr>
      <w:tblPr/>
      <w:tcPr>
        <w:tcBorders>
          <w:top w:val="single" w:sz="4" w:space="0" w:color="ADD394" w:themeColor="accent6" w:themeTint="90"/>
          <w:left w:val="none" w:sz="4" w:space="0" w:color="000000"/>
          <w:bottom w:val="single" w:sz="4" w:space="0" w:color="ADD394" w:themeColor="accent6"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DAEBCF" w:fill="DAEBCF" w:themeFill="accent6" w:themeFillTint="40"/>
      </w:tcPr>
    </w:tblStylePr>
    <w:tblStylePr w:type="band1Horz">
      <w:rPr>
        <w:rFonts w:ascii="Arial" w:hAnsi="Arial"/>
        <w:color w:val="404040"/>
        <w:sz w:val="22"/>
      </w:rPr>
      <w:tblPr/>
      <w:tcPr>
        <w:shd w:val="clear" w:color="DAEBCF" w:fill="DAEBCF" w:themeFill="accent6" w:themeFillTint="40"/>
      </w:tcPr>
    </w:tblStylePr>
  </w:style>
  <w:style w:type="table" w:customStyle="1" w:styleId="ListTable3-Accent11">
    <w:name w:val="List Table 3 - Accent 11"/>
    <w:basedOn w:val="TableNormal"/>
    <w:uiPriority w:val="99"/>
    <w:pPr>
      <w:spacing w:after="0" w:line="240" w:lineRule="auto"/>
    </w:pPr>
    <w:tblPr>
      <w:tblStyleRowBandSize w:val="1"/>
      <w:tblStyleColBandSize w:val="1"/>
      <w:tblBorders>
        <w:top w:val="single" w:sz="4" w:space="0" w:color="5B9BD5" w:themeColor="accent1"/>
        <w:left w:val="single" w:sz="4" w:space="0" w:color="5B9BD5" w:themeColor="accent1"/>
        <w:bottom w:val="single" w:sz="4" w:space="0" w:color="5B9BD5" w:themeColor="accent1"/>
        <w:right w:val="single" w:sz="4" w:space="0" w:color="5B9BD5" w:themeColor="accent1"/>
      </w:tblBorders>
    </w:tblPr>
    <w:tblStylePr w:type="firstRow">
      <w:rPr>
        <w:rFonts w:ascii="Arial" w:hAnsi="Arial"/>
        <w:b/>
        <w:color w:val="FFFFFF"/>
        <w:sz w:val="22"/>
      </w:rPr>
      <w:tblPr/>
      <w:tcPr>
        <w:shd w:val="clear" w:color="5B9BD5"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5B9BD5" w:themeColor="accent1"/>
          <w:right w:val="single" w:sz="4" w:space="0" w:color="5B9BD5" w:themeColor="accent1"/>
        </w:tcBorders>
      </w:tcPr>
    </w:tblStylePr>
    <w:tblStylePr w:type="band1Horz">
      <w:rPr>
        <w:rFonts w:ascii="Arial" w:hAnsi="Arial"/>
        <w:color w:val="404040"/>
        <w:sz w:val="22"/>
      </w:rPr>
      <w:tblPr/>
      <w:tcPr>
        <w:tcBorders>
          <w:top w:val="single" w:sz="4" w:space="0" w:color="5B9BD5" w:themeColor="accent1"/>
          <w:bottom w:val="single" w:sz="4" w:space="0" w:color="5B9BD5" w:themeColor="accent1"/>
        </w:tcBorders>
      </w:tcPr>
    </w:tblStylePr>
  </w:style>
  <w:style w:type="table" w:customStyle="1" w:styleId="ListTable3-Accent21">
    <w:name w:val="List Table 3 - Accent 21"/>
    <w:basedOn w:val="TableNormal"/>
    <w:uiPriority w:val="99"/>
    <w:pPr>
      <w:spacing w:after="0" w:line="240" w:lineRule="auto"/>
    </w:pPr>
    <w:tblPr>
      <w:tblStyleRowBandSize w:val="1"/>
      <w:tblStyleColBandSize w:val="1"/>
      <w:tblBorders>
        <w:top w:val="single" w:sz="4" w:space="0" w:color="F4B184" w:themeColor="accent2" w:themeTint="97"/>
        <w:left w:val="single" w:sz="4" w:space="0" w:color="F4B184" w:themeColor="accent2" w:themeTint="97"/>
        <w:bottom w:val="single" w:sz="4" w:space="0" w:color="F4B184" w:themeColor="accent2" w:themeTint="97"/>
        <w:right w:val="single" w:sz="4" w:space="0" w:color="F4B184" w:themeColor="accent2" w:themeTint="97"/>
      </w:tblBorders>
    </w:tblPr>
    <w:tblStylePr w:type="firstRow">
      <w:rPr>
        <w:rFonts w:ascii="Arial" w:hAnsi="Arial"/>
        <w:b/>
        <w:color w:val="FFFFFF"/>
        <w:sz w:val="22"/>
      </w:rPr>
      <w:tblPr/>
      <w:tcPr>
        <w:shd w:val="clear" w:color="F4B184" w:fill="F4B184" w:themeFill="accent2" w:themeFillTint="97"/>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4B184" w:themeColor="accent2" w:themeTint="97"/>
          <w:right w:val="single" w:sz="4" w:space="0" w:color="F4B184" w:themeColor="accent2" w:themeTint="97"/>
        </w:tcBorders>
      </w:tcPr>
    </w:tblStylePr>
    <w:tblStylePr w:type="band1Horz">
      <w:rPr>
        <w:rFonts w:ascii="Arial" w:hAnsi="Arial"/>
        <w:color w:val="404040"/>
        <w:sz w:val="22"/>
      </w:rPr>
      <w:tblPr/>
      <w:tcPr>
        <w:tcBorders>
          <w:top w:val="single" w:sz="4" w:space="0" w:color="F4B184" w:themeColor="accent2" w:themeTint="97"/>
          <w:bottom w:val="single" w:sz="4" w:space="0" w:color="F4B184" w:themeColor="accent2" w:themeTint="97"/>
        </w:tcBorders>
      </w:tcPr>
    </w:tblStylePr>
  </w:style>
  <w:style w:type="table" w:customStyle="1" w:styleId="ListTable3-Accent31">
    <w:name w:val="List Table 3 - Accent 31"/>
    <w:basedOn w:val="TableNormal"/>
    <w:uiPriority w:val="99"/>
    <w:pPr>
      <w:spacing w:after="0" w:line="240" w:lineRule="auto"/>
    </w:pPr>
    <w:tblPr>
      <w:tblStyleRowBandSize w:val="1"/>
      <w:tblStyleColBandSize w:val="1"/>
      <w:tblBorders>
        <w:top w:val="single" w:sz="4" w:space="0" w:color="C9C9C9" w:themeColor="accent3" w:themeTint="98"/>
        <w:left w:val="single" w:sz="4" w:space="0" w:color="C9C9C9" w:themeColor="accent3" w:themeTint="98"/>
        <w:bottom w:val="single" w:sz="4" w:space="0" w:color="C9C9C9" w:themeColor="accent3" w:themeTint="98"/>
        <w:right w:val="single" w:sz="4" w:space="0" w:color="C9C9C9" w:themeColor="accent3" w:themeTint="98"/>
      </w:tblBorders>
    </w:tblPr>
    <w:tblStylePr w:type="firstRow">
      <w:rPr>
        <w:rFonts w:ascii="Arial" w:hAnsi="Arial"/>
        <w:b/>
        <w:color w:val="FFFFFF"/>
        <w:sz w:val="22"/>
      </w:rPr>
      <w:tblPr/>
      <w:tcPr>
        <w:shd w:val="clear" w:color="C9C9C9" w:fill="C9C9C9" w:themeFill="accent3"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C9C9C9" w:themeColor="accent3" w:themeTint="98"/>
          <w:right w:val="single" w:sz="4" w:space="0" w:color="C9C9C9" w:themeColor="accent3" w:themeTint="98"/>
        </w:tcBorders>
      </w:tcPr>
    </w:tblStylePr>
    <w:tblStylePr w:type="band1Horz">
      <w:rPr>
        <w:rFonts w:ascii="Arial" w:hAnsi="Arial"/>
        <w:color w:val="404040"/>
        <w:sz w:val="22"/>
      </w:rPr>
      <w:tblPr/>
      <w:tcPr>
        <w:tcBorders>
          <w:top w:val="single" w:sz="4" w:space="0" w:color="C9C9C9" w:themeColor="accent3" w:themeTint="98"/>
          <w:bottom w:val="single" w:sz="4" w:space="0" w:color="C9C9C9" w:themeColor="accent3" w:themeTint="98"/>
        </w:tcBorders>
      </w:tcPr>
    </w:tblStylePr>
  </w:style>
  <w:style w:type="table" w:customStyle="1" w:styleId="ListTable3-Accent41">
    <w:name w:val="List Table 3 - Accent 41"/>
    <w:basedOn w:val="TableNormal"/>
    <w:uiPriority w:val="99"/>
    <w:pPr>
      <w:spacing w:after="0" w:line="240" w:lineRule="auto"/>
    </w:pPr>
    <w:tblPr>
      <w:tblStyleRowBandSize w:val="1"/>
      <w:tblStyleColBandSize w:val="1"/>
      <w:tblBorders>
        <w:top w:val="single" w:sz="4" w:space="0" w:color="FFD865" w:themeColor="accent4" w:themeTint="9A"/>
        <w:left w:val="single" w:sz="4" w:space="0" w:color="FFD865" w:themeColor="accent4" w:themeTint="9A"/>
        <w:bottom w:val="single" w:sz="4" w:space="0" w:color="FFD865" w:themeColor="accent4" w:themeTint="9A"/>
        <w:right w:val="single" w:sz="4" w:space="0" w:color="FFD865" w:themeColor="accent4" w:themeTint="9A"/>
      </w:tblBorders>
    </w:tblPr>
    <w:tblStylePr w:type="firstRow">
      <w:rPr>
        <w:rFonts w:ascii="Arial" w:hAnsi="Arial"/>
        <w:b/>
        <w:color w:val="FFFFFF"/>
        <w:sz w:val="22"/>
      </w:rPr>
      <w:tblPr/>
      <w:tcPr>
        <w:shd w:val="clear" w:color="FFD865" w:fill="FFD865" w:themeFill="accent4"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FFD865" w:themeColor="accent4" w:themeTint="9A"/>
          <w:right w:val="single" w:sz="4" w:space="0" w:color="FFD865" w:themeColor="accent4" w:themeTint="9A"/>
        </w:tcBorders>
      </w:tcPr>
    </w:tblStylePr>
    <w:tblStylePr w:type="band1Horz">
      <w:rPr>
        <w:rFonts w:ascii="Arial" w:hAnsi="Arial"/>
        <w:color w:val="404040"/>
        <w:sz w:val="22"/>
      </w:rPr>
      <w:tblPr/>
      <w:tcPr>
        <w:tcBorders>
          <w:top w:val="single" w:sz="4" w:space="0" w:color="FFD865" w:themeColor="accent4" w:themeTint="9A"/>
          <w:bottom w:val="single" w:sz="4" w:space="0" w:color="FFD865" w:themeColor="accent4" w:themeTint="9A"/>
        </w:tcBorders>
      </w:tcPr>
    </w:tblStylePr>
  </w:style>
  <w:style w:type="table" w:customStyle="1" w:styleId="ListTable3-Accent51">
    <w:name w:val="List Table 3 - Accent 51"/>
    <w:basedOn w:val="TableNormal"/>
    <w:uiPriority w:val="99"/>
    <w:pPr>
      <w:spacing w:after="0" w:line="240" w:lineRule="auto"/>
    </w:pPr>
    <w:tblPr>
      <w:tblStyleRowBandSize w:val="1"/>
      <w:tblStyleColBandSize w:val="1"/>
      <w:tblBorders>
        <w:top w:val="single" w:sz="4" w:space="0" w:color="8DA9DB" w:themeColor="accent5" w:themeTint="9A"/>
        <w:left w:val="single" w:sz="4" w:space="0" w:color="8DA9DB" w:themeColor="accent5" w:themeTint="9A"/>
        <w:bottom w:val="single" w:sz="4" w:space="0" w:color="8DA9DB" w:themeColor="accent5" w:themeTint="9A"/>
        <w:right w:val="single" w:sz="4" w:space="0" w:color="8DA9DB" w:themeColor="accent5" w:themeTint="9A"/>
      </w:tblBorders>
    </w:tblPr>
    <w:tblStylePr w:type="firstRow">
      <w:rPr>
        <w:rFonts w:ascii="Arial" w:hAnsi="Arial"/>
        <w:b/>
        <w:color w:val="FFFFFF"/>
        <w:sz w:val="22"/>
      </w:rPr>
      <w:tblPr/>
      <w:tcPr>
        <w:shd w:val="clear" w:color="8DA9DB" w:fill="8DA9DB" w:themeFill="accent5" w:themeFillTint="9A"/>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8DA9DB" w:themeColor="accent5" w:themeTint="9A"/>
          <w:right w:val="single" w:sz="4" w:space="0" w:color="8DA9DB" w:themeColor="accent5" w:themeTint="9A"/>
        </w:tcBorders>
      </w:tcPr>
    </w:tblStylePr>
    <w:tblStylePr w:type="band1Horz">
      <w:rPr>
        <w:rFonts w:ascii="Arial" w:hAnsi="Arial"/>
        <w:color w:val="404040"/>
        <w:sz w:val="22"/>
      </w:rPr>
      <w:tblPr/>
      <w:tcPr>
        <w:tcBorders>
          <w:top w:val="single" w:sz="4" w:space="0" w:color="8DA9DB" w:themeColor="accent5" w:themeTint="9A"/>
          <w:bottom w:val="single" w:sz="4" w:space="0" w:color="8DA9DB" w:themeColor="accent5" w:themeTint="9A"/>
        </w:tcBorders>
      </w:tcPr>
    </w:tblStylePr>
  </w:style>
  <w:style w:type="table" w:customStyle="1" w:styleId="ListTable3-Accent61">
    <w:name w:val="List Table 3 - Accent 61"/>
    <w:basedOn w:val="TableNormal"/>
    <w:uiPriority w:val="99"/>
    <w:pPr>
      <w:spacing w:after="0" w:line="240" w:lineRule="auto"/>
    </w:pPr>
    <w:tblPr>
      <w:tblStyleRowBandSize w:val="1"/>
      <w:tblStyleColBandSize w:val="1"/>
      <w:tblBorders>
        <w:top w:val="single" w:sz="4" w:space="0" w:color="A9D08E" w:themeColor="accent6" w:themeTint="98"/>
        <w:left w:val="single" w:sz="4" w:space="0" w:color="A9D08E" w:themeColor="accent6" w:themeTint="98"/>
        <w:bottom w:val="single" w:sz="4" w:space="0" w:color="A9D08E" w:themeColor="accent6" w:themeTint="98"/>
        <w:right w:val="single" w:sz="4" w:space="0" w:color="A9D08E" w:themeColor="accent6" w:themeTint="98"/>
      </w:tblBorders>
    </w:tblPr>
    <w:tblStylePr w:type="firstRow">
      <w:rPr>
        <w:rFonts w:ascii="Arial" w:hAnsi="Arial"/>
        <w:b/>
        <w:color w:val="FFFFFF"/>
        <w:sz w:val="22"/>
      </w:rPr>
      <w:tblPr/>
      <w:tcPr>
        <w:shd w:val="clear" w:color="A9D08E" w:fill="A9D08E" w:themeFill="accent6" w:themeFillTint="98"/>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A9D08E" w:themeColor="accent6" w:themeTint="98"/>
          <w:right w:val="single" w:sz="4" w:space="0" w:color="A9D08E" w:themeColor="accent6" w:themeTint="98"/>
        </w:tcBorders>
      </w:tcPr>
    </w:tblStylePr>
    <w:tblStylePr w:type="band1Horz">
      <w:rPr>
        <w:rFonts w:ascii="Arial" w:hAnsi="Arial"/>
        <w:color w:val="404040"/>
        <w:sz w:val="22"/>
      </w:rPr>
      <w:tblPr/>
      <w:tcPr>
        <w:tcBorders>
          <w:top w:val="single" w:sz="4" w:space="0" w:color="A9D08E" w:themeColor="accent6" w:themeTint="98"/>
          <w:bottom w:val="single" w:sz="4" w:space="0" w:color="A9D08E" w:themeColor="accent6" w:themeTint="98"/>
        </w:tcBorders>
      </w:tcPr>
    </w:tblStylePr>
  </w:style>
  <w:style w:type="table" w:customStyle="1" w:styleId="ListTable4-Accent11">
    <w:name w:val="List Table 4 - Accent 11"/>
    <w:basedOn w:val="TableNormal"/>
    <w:uiPriority w:val="99"/>
    <w:pPr>
      <w:spacing w:after="0" w:line="240" w:lineRule="auto"/>
    </w:pPr>
    <w:tblPr>
      <w:tblStyleRowBandSize w:val="1"/>
      <w:tblStyleColBandSize w:val="1"/>
      <w:tblBorders>
        <w:top w:val="single" w:sz="4" w:space="0" w:color="A2C6E7" w:themeColor="accent1" w:themeTint="90"/>
        <w:left w:val="single" w:sz="4" w:space="0" w:color="A2C6E7" w:themeColor="accent1" w:themeTint="90"/>
        <w:bottom w:val="single" w:sz="4" w:space="0" w:color="A2C6E7" w:themeColor="accent1" w:themeTint="90"/>
        <w:right w:val="single" w:sz="4" w:space="0" w:color="A2C6E7" w:themeColor="accent1" w:themeTint="90"/>
        <w:insideH w:val="single" w:sz="4" w:space="0" w:color="A2C6E7" w:themeColor="accent1" w:themeTint="90"/>
      </w:tblBorders>
    </w:tblPr>
    <w:tblStylePr w:type="firstRow">
      <w:rPr>
        <w:rFonts w:ascii="Arial" w:hAnsi="Arial"/>
        <w:b/>
        <w:color w:val="FFFFFF"/>
        <w:sz w:val="22"/>
      </w:rPr>
      <w:tblPr/>
      <w:tcPr>
        <w:shd w:val="clear" w:color="5B9BD5" w:fill="5B9BD5" w:themeFill="accen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5E5F4" w:fill="D5E5F4" w:themeFill="accent1" w:themeFillTint="40"/>
      </w:tcPr>
    </w:tblStylePr>
    <w:tblStylePr w:type="band1Horz">
      <w:rPr>
        <w:rFonts w:ascii="Arial" w:hAnsi="Arial"/>
        <w:color w:val="404040"/>
        <w:sz w:val="22"/>
      </w:rPr>
      <w:tblPr/>
      <w:tcPr>
        <w:shd w:val="clear" w:color="D5E5F4" w:fill="D5E5F4" w:themeFill="accent1" w:themeFillTint="40"/>
      </w:tcPr>
    </w:tblStylePr>
  </w:style>
  <w:style w:type="table" w:customStyle="1" w:styleId="ListTable4-Accent21">
    <w:name w:val="List Table 4 - Accent 21"/>
    <w:basedOn w:val="TableNormal"/>
    <w:uiPriority w:val="99"/>
    <w:pPr>
      <w:spacing w:after="0" w:line="240" w:lineRule="auto"/>
    </w:pPr>
    <w:tblPr>
      <w:tblStyleRowBandSize w:val="1"/>
      <w:tblStyleColBandSize w:val="1"/>
      <w:tblBorders>
        <w:top w:val="single" w:sz="4" w:space="0" w:color="F4B58A" w:themeColor="accent2" w:themeTint="90"/>
        <w:left w:val="single" w:sz="4" w:space="0" w:color="F4B58A" w:themeColor="accent2" w:themeTint="90"/>
        <w:bottom w:val="single" w:sz="4" w:space="0" w:color="F4B58A" w:themeColor="accent2" w:themeTint="90"/>
        <w:right w:val="single" w:sz="4" w:space="0" w:color="F4B58A" w:themeColor="accent2" w:themeTint="90"/>
        <w:insideH w:val="single" w:sz="4" w:space="0" w:color="F4B58A" w:themeColor="accent2" w:themeTint="90"/>
      </w:tblBorders>
    </w:tblPr>
    <w:tblStylePr w:type="firstRow">
      <w:rPr>
        <w:rFonts w:ascii="Arial" w:hAnsi="Arial"/>
        <w:b/>
        <w:color w:val="FFFFFF"/>
        <w:sz w:val="22"/>
      </w:rPr>
      <w:tblPr/>
      <w:tcPr>
        <w:shd w:val="clear" w:color="ED7D31" w:fill="ED7D31" w:themeFill="accent2"/>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ADECB" w:fill="FADECB" w:themeFill="accent2" w:themeFillTint="40"/>
      </w:tcPr>
    </w:tblStylePr>
    <w:tblStylePr w:type="band1Horz">
      <w:rPr>
        <w:rFonts w:ascii="Arial" w:hAnsi="Arial"/>
        <w:color w:val="404040"/>
        <w:sz w:val="22"/>
      </w:rPr>
      <w:tblPr/>
      <w:tcPr>
        <w:shd w:val="clear" w:color="FADECB" w:fill="FADECB" w:themeFill="accent2" w:themeFillTint="40"/>
      </w:tcPr>
    </w:tblStylePr>
  </w:style>
  <w:style w:type="table" w:customStyle="1" w:styleId="ListTable4-Accent31">
    <w:name w:val="List Table 4 - Accent 31"/>
    <w:basedOn w:val="TableNormal"/>
    <w:uiPriority w:val="99"/>
    <w:pPr>
      <w:spacing w:after="0" w:line="240" w:lineRule="auto"/>
    </w:pPr>
    <w:tblPr>
      <w:tblStyleRowBandSize w:val="1"/>
      <w:tblStyleColBandSize w:val="1"/>
      <w:tblBorders>
        <w:top w:val="single" w:sz="4" w:space="0" w:color="CCCCCC" w:themeColor="accent3" w:themeTint="90"/>
        <w:left w:val="single" w:sz="4" w:space="0" w:color="CCCCCC" w:themeColor="accent3" w:themeTint="90"/>
        <w:bottom w:val="single" w:sz="4" w:space="0" w:color="CCCCCC" w:themeColor="accent3" w:themeTint="90"/>
        <w:right w:val="single" w:sz="4" w:space="0" w:color="CCCCCC" w:themeColor="accent3" w:themeTint="90"/>
        <w:insideH w:val="single" w:sz="4" w:space="0" w:color="CCCCCC" w:themeColor="accent3" w:themeTint="90"/>
      </w:tblBorders>
    </w:tblPr>
    <w:tblStylePr w:type="firstRow">
      <w:rPr>
        <w:rFonts w:ascii="Arial" w:hAnsi="Arial"/>
        <w:b/>
        <w:color w:val="FFFFFF"/>
        <w:sz w:val="22"/>
      </w:rPr>
      <w:tblPr/>
      <w:tcPr>
        <w:shd w:val="clear" w:color="A5A5A5" w:fill="A5A5A5" w:themeFill="accent3"/>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E8E8E8" w:fill="E8E8E8" w:themeFill="accent3" w:themeFillTint="40"/>
      </w:tcPr>
    </w:tblStylePr>
    <w:tblStylePr w:type="band1Horz">
      <w:rPr>
        <w:rFonts w:ascii="Arial" w:hAnsi="Arial"/>
        <w:color w:val="404040"/>
        <w:sz w:val="22"/>
      </w:rPr>
      <w:tblPr/>
      <w:tcPr>
        <w:shd w:val="clear" w:color="E8E8E8" w:fill="E8E8E8" w:themeFill="accent3" w:themeFillTint="40"/>
      </w:tcPr>
    </w:tblStylePr>
  </w:style>
  <w:style w:type="table" w:customStyle="1" w:styleId="ListTable4-Accent41">
    <w:name w:val="List Table 4 - Accent 41"/>
    <w:basedOn w:val="TableNormal"/>
    <w:uiPriority w:val="99"/>
    <w:pPr>
      <w:spacing w:after="0" w:line="240" w:lineRule="auto"/>
    </w:pPr>
    <w:tblPr>
      <w:tblStyleRowBandSize w:val="1"/>
      <w:tblStyleColBandSize w:val="1"/>
      <w:tblBorders>
        <w:top w:val="single" w:sz="4" w:space="0" w:color="FFDB6F" w:themeColor="accent4" w:themeTint="90"/>
        <w:left w:val="single" w:sz="4" w:space="0" w:color="FFDB6F" w:themeColor="accent4" w:themeTint="90"/>
        <w:bottom w:val="single" w:sz="4" w:space="0" w:color="FFDB6F" w:themeColor="accent4" w:themeTint="90"/>
        <w:right w:val="single" w:sz="4" w:space="0" w:color="FFDB6F" w:themeColor="accent4" w:themeTint="90"/>
        <w:insideH w:val="single" w:sz="4" w:space="0" w:color="FFDB6F" w:themeColor="accent4" w:themeTint="90"/>
      </w:tblBorders>
    </w:tblPr>
    <w:tblStylePr w:type="firstRow">
      <w:rPr>
        <w:rFonts w:ascii="Arial" w:hAnsi="Arial"/>
        <w:b/>
        <w:color w:val="FFFFFF"/>
        <w:sz w:val="22"/>
      </w:rPr>
      <w:tblPr/>
      <w:tcPr>
        <w:shd w:val="clear" w:color="FFC000" w:fill="FFC000" w:themeFill="accent4"/>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FEFBF" w:fill="FFEFBF" w:themeFill="accent4" w:themeFillTint="40"/>
      </w:tcPr>
    </w:tblStylePr>
    <w:tblStylePr w:type="band1Horz">
      <w:rPr>
        <w:rFonts w:ascii="Arial" w:hAnsi="Arial"/>
        <w:color w:val="404040"/>
        <w:sz w:val="22"/>
      </w:rPr>
      <w:tblPr/>
      <w:tcPr>
        <w:shd w:val="clear" w:color="FFEFBF" w:fill="FFEFBF" w:themeFill="accent4" w:themeFillTint="40"/>
      </w:tcPr>
    </w:tblStylePr>
  </w:style>
  <w:style w:type="table" w:customStyle="1" w:styleId="ListTable4-Accent51">
    <w:name w:val="List Table 4 - Accent 51"/>
    <w:basedOn w:val="TableNormal"/>
    <w:uiPriority w:val="99"/>
    <w:pPr>
      <w:spacing w:after="0" w:line="240" w:lineRule="auto"/>
    </w:pPr>
    <w:tblPr>
      <w:tblStyleRowBandSize w:val="1"/>
      <w:tblStyleColBandSize w:val="1"/>
      <w:tblBorders>
        <w:top w:val="single" w:sz="4" w:space="0" w:color="95AFDD" w:themeColor="accent5" w:themeTint="90"/>
        <w:left w:val="single" w:sz="4" w:space="0" w:color="95AFDD" w:themeColor="accent5" w:themeTint="90"/>
        <w:bottom w:val="single" w:sz="4" w:space="0" w:color="95AFDD" w:themeColor="accent5" w:themeTint="90"/>
        <w:right w:val="single" w:sz="4" w:space="0" w:color="95AFDD" w:themeColor="accent5" w:themeTint="90"/>
        <w:insideH w:val="single" w:sz="4" w:space="0" w:color="95AFDD" w:themeColor="accent5" w:themeTint="90"/>
      </w:tblBorders>
    </w:tblPr>
    <w:tblStylePr w:type="firstRow">
      <w:rPr>
        <w:rFonts w:ascii="Arial" w:hAnsi="Arial"/>
        <w:b/>
        <w:color w:val="FFFFFF"/>
        <w:sz w:val="22"/>
      </w:rPr>
      <w:tblPr/>
      <w:tcPr>
        <w:shd w:val="clear" w:color="4472C4" w:fill="4472C4" w:themeFill="accent5"/>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FDBF0" w:fill="CFDBF0" w:themeFill="accent5" w:themeFillTint="40"/>
      </w:tcPr>
    </w:tblStylePr>
    <w:tblStylePr w:type="band1Horz">
      <w:rPr>
        <w:rFonts w:ascii="Arial" w:hAnsi="Arial"/>
        <w:color w:val="404040"/>
        <w:sz w:val="22"/>
      </w:rPr>
      <w:tblPr/>
      <w:tcPr>
        <w:shd w:val="clear" w:color="CFDBF0" w:fill="CFDBF0" w:themeFill="accent5" w:themeFillTint="40"/>
      </w:tcPr>
    </w:tblStylePr>
  </w:style>
  <w:style w:type="table" w:customStyle="1" w:styleId="ListTable4-Accent61">
    <w:name w:val="List Table 4 - Accent 61"/>
    <w:basedOn w:val="TableNormal"/>
    <w:uiPriority w:val="99"/>
    <w:pPr>
      <w:spacing w:after="0" w:line="240" w:lineRule="auto"/>
    </w:pPr>
    <w:tblPr>
      <w:tblStyleRowBandSize w:val="1"/>
      <w:tblStyleColBandSize w:val="1"/>
      <w:tblBorders>
        <w:top w:val="single" w:sz="4" w:space="0" w:color="ADD394" w:themeColor="accent6" w:themeTint="90"/>
        <w:left w:val="single" w:sz="4" w:space="0" w:color="ADD394" w:themeColor="accent6" w:themeTint="90"/>
        <w:bottom w:val="single" w:sz="4" w:space="0" w:color="ADD394" w:themeColor="accent6" w:themeTint="90"/>
        <w:right w:val="single" w:sz="4" w:space="0" w:color="ADD394" w:themeColor="accent6" w:themeTint="90"/>
        <w:insideH w:val="single" w:sz="4" w:space="0" w:color="ADD394" w:themeColor="accent6" w:themeTint="90"/>
      </w:tblBorders>
    </w:tblPr>
    <w:tblStylePr w:type="firstRow">
      <w:rPr>
        <w:rFonts w:ascii="Arial" w:hAnsi="Arial"/>
        <w:b/>
        <w:color w:val="FFFFFF"/>
        <w:sz w:val="22"/>
      </w:rPr>
      <w:tblPr/>
      <w:tcPr>
        <w:shd w:val="clear" w:color="70AD47" w:fill="70AD47" w:themeFill="accent6"/>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DAEBCF" w:fill="DAEBCF" w:themeFill="accent6" w:themeFillTint="40"/>
      </w:tcPr>
    </w:tblStylePr>
    <w:tblStylePr w:type="band1Horz">
      <w:rPr>
        <w:rFonts w:ascii="Arial" w:hAnsi="Arial"/>
        <w:color w:val="404040"/>
        <w:sz w:val="22"/>
      </w:rPr>
      <w:tblPr/>
      <w:tcPr>
        <w:shd w:val="clear" w:color="DAEBCF" w:fill="DAEBCF" w:themeFill="accent6" w:themeFillTint="40"/>
      </w:tcPr>
    </w:tblStylePr>
  </w:style>
  <w:style w:type="table" w:customStyle="1" w:styleId="ListTable5Dark-Accent11">
    <w:name w:val="List Table 5 Dark - Accent 11"/>
    <w:basedOn w:val="TableNormal"/>
    <w:uiPriority w:val="99"/>
    <w:pPr>
      <w:spacing w:after="0" w:line="240" w:lineRule="auto"/>
    </w:pPr>
    <w:tblPr>
      <w:tblStyleRowBandSize w:val="1"/>
      <w:tblStyleColBandSize w:val="1"/>
      <w:tblBorders>
        <w:top w:val="single" w:sz="32" w:space="0" w:color="5B9BD5" w:themeColor="accent1"/>
        <w:left w:val="single" w:sz="32" w:space="0" w:color="5B9BD5" w:themeColor="accent1"/>
        <w:bottom w:val="single" w:sz="32" w:space="0" w:color="5B9BD5" w:themeColor="accent1"/>
        <w:right w:val="single" w:sz="32" w:space="0" w:color="5B9BD5" w:themeColor="accent1"/>
      </w:tblBorders>
      <w:shd w:val="clear" w:color="5B9BD5" w:fill="5B9BD5" w:themeFill="accent1"/>
    </w:tblPr>
    <w:tblStylePr w:type="firstRow">
      <w:rPr>
        <w:rFonts w:ascii="Arial" w:hAnsi="Arial"/>
        <w:b/>
        <w:color w:val="FFFFFF" w:themeColor="light1"/>
        <w:sz w:val="22"/>
      </w:rPr>
      <w:tblPr/>
      <w:tcPr>
        <w:tcBorders>
          <w:top w:val="single" w:sz="32" w:space="0" w:color="5B9BD5" w:themeColor="accent1"/>
          <w:bottom w:val="single" w:sz="12" w:space="0" w:color="FFFFFF" w:themeColor="light1"/>
        </w:tcBorders>
        <w:shd w:val="clear" w:color="5B9BD5" w:fill="5B9BD5" w:themeFill="accent1"/>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5B9BD5" w:themeColor="accent1"/>
          <w:right w:val="single" w:sz="4" w:space="0" w:color="FFFFFF" w:themeColor="light1"/>
        </w:tcBorders>
      </w:tcPr>
    </w:tblStylePr>
    <w:tblStylePr w:type="lastCol">
      <w:tblPr/>
      <w:tcPr>
        <w:tcBorders>
          <w:left w:val="single" w:sz="4" w:space="0" w:color="FFFFFF" w:themeColor="light1"/>
          <w:right w:val="single" w:sz="32" w:space="0" w:color="5B9BD5" w:themeColor="accent1"/>
        </w:tcBorders>
      </w:tcPr>
    </w:tblStylePr>
    <w:tblStylePr w:type="band1Vert">
      <w:tblPr/>
      <w:tcPr>
        <w:tcBorders>
          <w:left w:val="single" w:sz="4" w:space="0" w:color="FFFFFF" w:themeColor="light1"/>
          <w:right w:val="single" w:sz="4" w:space="0" w:color="FFFFFF" w:themeColor="light1"/>
        </w:tcBorders>
        <w:shd w:val="clear" w:color="5B9BD5" w:fill="5B9BD5" w:themeFill="accent1"/>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5B9BD5" w:fill="5B9BD5" w:themeFill="accent1"/>
      </w:tcPr>
    </w:tblStylePr>
    <w:tblStylePr w:type="band2Horz">
      <w:tblPr/>
      <w:tcPr>
        <w:tcBorders>
          <w:top w:val="single" w:sz="4" w:space="0" w:color="FFFFFF" w:themeColor="light1"/>
          <w:bottom w:val="single" w:sz="4" w:space="0" w:color="FFFFFF" w:themeColor="light1"/>
        </w:tcBorders>
        <w:shd w:val="clear" w:color="5B9BD5" w:fill="5B9BD5" w:themeFill="accent1"/>
      </w:tcPr>
    </w:tblStylePr>
  </w:style>
  <w:style w:type="table" w:customStyle="1" w:styleId="ListTable5Dark-Accent21">
    <w:name w:val="List Table 5 Dark - Accent 21"/>
    <w:basedOn w:val="TableNormal"/>
    <w:uiPriority w:val="99"/>
    <w:pPr>
      <w:spacing w:after="0" w:line="240" w:lineRule="auto"/>
    </w:pPr>
    <w:tblPr>
      <w:tblStyleRowBandSize w:val="1"/>
      <w:tblStyleColBandSize w:val="1"/>
      <w:tblBorders>
        <w:top w:val="single" w:sz="32" w:space="0" w:color="F4B184" w:themeColor="accent2" w:themeTint="97"/>
        <w:left w:val="single" w:sz="32" w:space="0" w:color="F4B184" w:themeColor="accent2" w:themeTint="97"/>
        <w:bottom w:val="single" w:sz="32" w:space="0" w:color="F4B184" w:themeColor="accent2" w:themeTint="97"/>
        <w:right w:val="single" w:sz="32" w:space="0" w:color="F4B184" w:themeColor="accent2" w:themeTint="97"/>
      </w:tblBorders>
      <w:shd w:val="clear" w:color="F4B184" w:fill="F4B184" w:themeFill="accent2" w:themeFillTint="97"/>
    </w:tblPr>
    <w:tblStylePr w:type="firstRow">
      <w:rPr>
        <w:rFonts w:ascii="Arial" w:hAnsi="Arial"/>
        <w:b/>
        <w:color w:val="FFFFFF" w:themeColor="light1"/>
        <w:sz w:val="22"/>
      </w:rPr>
      <w:tblPr/>
      <w:tcPr>
        <w:tcBorders>
          <w:top w:val="single" w:sz="32" w:space="0" w:color="F4B184" w:themeColor="accent2" w:themeTint="97"/>
          <w:bottom w:val="single" w:sz="12" w:space="0" w:color="FFFFFF" w:themeColor="light1"/>
        </w:tcBorders>
        <w:shd w:val="clear" w:color="F4B184" w:fill="F4B184" w:themeFill="accent2" w:themeFillTint="97"/>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4B184" w:themeColor="accent2" w:themeTint="97"/>
          <w:right w:val="single" w:sz="4" w:space="0" w:color="FFFFFF" w:themeColor="light1"/>
        </w:tcBorders>
      </w:tcPr>
    </w:tblStylePr>
    <w:tblStylePr w:type="lastCol">
      <w:tblPr/>
      <w:tcPr>
        <w:tcBorders>
          <w:left w:val="single" w:sz="4" w:space="0" w:color="FFFFFF" w:themeColor="light1"/>
          <w:right w:val="single" w:sz="32" w:space="0" w:color="F4B184" w:themeColor="accent2" w:themeTint="97"/>
        </w:tcBorders>
      </w:tcPr>
    </w:tblStylePr>
    <w:tblStylePr w:type="band1Vert">
      <w:tblPr/>
      <w:tcPr>
        <w:tcBorders>
          <w:left w:val="single" w:sz="4" w:space="0" w:color="FFFFFF" w:themeColor="light1"/>
          <w:right w:val="single" w:sz="4" w:space="0" w:color="FFFFFF" w:themeColor="light1"/>
        </w:tcBorders>
        <w:shd w:val="clear" w:color="F4B184" w:fill="F4B184" w:themeFill="accent2" w:themeFillTint="97"/>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4B184" w:fill="F4B184" w:themeFill="accent2" w:themeFillTint="97"/>
      </w:tcPr>
    </w:tblStylePr>
    <w:tblStylePr w:type="band2Horz">
      <w:tblPr/>
      <w:tcPr>
        <w:tcBorders>
          <w:top w:val="single" w:sz="4" w:space="0" w:color="FFFFFF" w:themeColor="light1"/>
          <w:bottom w:val="single" w:sz="4" w:space="0" w:color="FFFFFF" w:themeColor="light1"/>
        </w:tcBorders>
        <w:shd w:val="clear" w:color="F4B184" w:fill="F4B184" w:themeFill="accent2" w:themeFillTint="97"/>
      </w:tcPr>
    </w:tblStylePr>
  </w:style>
  <w:style w:type="table" w:customStyle="1" w:styleId="ListTable5Dark-Accent31">
    <w:name w:val="List Table 5 Dark - Accent 31"/>
    <w:basedOn w:val="TableNormal"/>
    <w:uiPriority w:val="99"/>
    <w:pPr>
      <w:spacing w:after="0" w:line="240" w:lineRule="auto"/>
    </w:pPr>
    <w:tblPr>
      <w:tblStyleRowBandSize w:val="1"/>
      <w:tblStyleColBandSize w:val="1"/>
      <w:tblBorders>
        <w:top w:val="single" w:sz="32" w:space="0" w:color="C9C9C9" w:themeColor="accent3" w:themeTint="98"/>
        <w:left w:val="single" w:sz="32" w:space="0" w:color="C9C9C9" w:themeColor="accent3" w:themeTint="98"/>
        <w:bottom w:val="single" w:sz="32" w:space="0" w:color="C9C9C9" w:themeColor="accent3" w:themeTint="98"/>
        <w:right w:val="single" w:sz="32" w:space="0" w:color="C9C9C9" w:themeColor="accent3" w:themeTint="98"/>
      </w:tblBorders>
      <w:shd w:val="clear" w:color="C9C9C9" w:fill="C9C9C9" w:themeFill="accent3" w:themeFillTint="98"/>
    </w:tblPr>
    <w:tblStylePr w:type="firstRow">
      <w:rPr>
        <w:rFonts w:ascii="Arial" w:hAnsi="Arial"/>
        <w:b/>
        <w:color w:val="FFFFFF" w:themeColor="light1"/>
        <w:sz w:val="22"/>
      </w:rPr>
      <w:tblPr/>
      <w:tcPr>
        <w:tcBorders>
          <w:top w:val="single" w:sz="32" w:space="0" w:color="C9C9C9" w:themeColor="accent3" w:themeTint="98"/>
          <w:bottom w:val="single" w:sz="12" w:space="0" w:color="FFFFFF" w:themeColor="light1"/>
        </w:tcBorders>
        <w:shd w:val="clear" w:color="C9C9C9" w:fill="C9C9C9" w:themeFill="accent3"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C9C9C9" w:themeColor="accent3" w:themeTint="98"/>
          <w:right w:val="single" w:sz="4" w:space="0" w:color="FFFFFF" w:themeColor="light1"/>
        </w:tcBorders>
      </w:tcPr>
    </w:tblStylePr>
    <w:tblStylePr w:type="lastCol">
      <w:tblPr/>
      <w:tcPr>
        <w:tcBorders>
          <w:left w:val="single" w:sz="4" w:space="0" w:color="FFFFFF" w:themeColor="light1"/>
          <w:right w:val="single" w:sz="32" w:space="0" w:color="C9C9C9" w:themeColor="accent3" w:themeTint="98"/>
        </w:tcBorders>
      </w:tcPr>
    </w:tblStylePr>
    <w:tblStylePr w:type="band1Vert">
      <w:tblPr/>
      <w:tcPr>
        <w:tcBorders>
          <w:left w:val="single" w:sz="4" w:space="0" w:color="FFFFFF" w:themeColor="light1"/>
          <w:right w:val="single" w:sz="4" w:space="0" w:color="FFFFFF" w:themeColor="light1"/>
        </w:tcBorders>
        <w:shd w:val="clear" w:color="C9C9C9" w:fill="C9C9C9" w:themeFill="accent3"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C9C9C9" w:fill="C9C9C9" w:themeFill="accent3" w:themeFillTint="98"/>
      </w:tcPr>
    </w:tblStylePr>
    <w:tblStylePr w:type="band2Horz">
      <w:tblPr/>
      <w:tcPr>
        <w:tcBorders>
          <w:top w:val="single" w:sz="4" w:space="0" w:color="FFFFFF" w:themeColor="light1"/>
          <w:bottom w:val="single" w:sz="4" w:space="0" w:color="FFFFFF" w:themeColor="light1"/>
        </w:tcBorders>
        <w:shd w:val="clear" w:color="C9C9C9" w:fill="C9C9C9" w:themeFill="accent3" w:themeFillTint="98"/>
      </w:tcPr>
    </w:tblStylePr>
  </w:style>
  <w:style w:type="table" w:customStyle="1" w:styleId="ListTable5Dark-Accent41">
    <w:name w:val="List Table 5 Dark - Accent 41"/>
    <w:basedOn w:val="TableNormal"/>
    <w:uiPriority w:val="99"/>
    <w:pPr>
      <w:spacing w:after="0" w:line="240" w:lineRule="auto"/>
    </w:pPr>
    <w:tblPr>
      <w:tblStyleRowBandSize w:val="1"/>
      <w:tblStyleColBandSize w:val="1"/>
      <w:tblBorders>
        <w:top w:val="single" w:sz="32" w:space="0" w:color="FFD865" w:themeColor="accent4" w:themeTint="9A"/>
        <w:left w:val="single" w:sz="32" w:space="0" w:color="FFD865" w:themeColor="accent4" w:themeTint="9A"/>
        <w:bottom w:val="single" w:sz="32" w:space="0" w:color="FFD865" w:themeColor="accent4" w:themeTint="9A"/>
        <w:right w:val="single" w:sz="32" w:space="0" w:color="FFD865" w:themeColor="accent4" w:themeTint="9A"/>
      </w:tblBorders>
      <w:shd w:val="clear" w:color="FFD865" w:fill="FFD865" w:themeFill="accent4" w:themeFillTint="9A"/>
    </w:tblPr>
    <w:tblStylePr w:type="firstRow">
      <w:rPr>
        <w:rFonts w:ascii="Arial" w:hAnsi="Arial"/>
        <w:b/>
        <w:color w:val="FFFFFF" w:themeColor="light1"/>
        <w:sz w:val="22"/>
      </w:rPr>
      <w:tblPr/>
      <w:tcPr>
        <w:tcBorders>
          <w:top w:val="single" w:sz="32" w:space="0" w:color="FFD865" w:themeColor="accent4" w:themeTint="9A"/>
          <w:bottom w:val="single" w:sz="12" w:space="0" w:color="FFFFFF" w:themeColor="light1"/>
        </w:tcBorders>
        <w:shd w:val="clear" w:color="FFD865" w:fill="FFD865" w:themeFill="accent4"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FFD865" w:themeColor="accent4" w:themeTint="9A"/>
          <w:right w:val="single" w:sz="4" w:space="0" w:color="FFFFFF" w:themeColor="light1"/>
        </w:tcBorders>
      </w:tcPr>
    </w:tblStylePr>
    <w:tblStylePr w:type="lastCol">
      <w:tblPr/>
      <w:tcPr>
        <w:tcBorders>
          <w:left w:val="single" w:sz="4" w:space="0" w:color="FFFFFF" w:themeColor="light1"/>
          <w:right w:val="single" w:sz="32" w:space="0" w:color="FFD865" w:themeColor="accent4" w:themeTint="9A"/>
        </w:tcBorders>
      </w:tcPr>
    </w:tblStylePr>
    <w:tblStylePr w:type="band1Vert">
      <w:tblPr/>
      <w:tcPr>
        <w:tcBorders>
          <w:left w:val="single" w:sz="4" w:space="0" w:color="FFFFFF" w:themeColor="light1"/>
          <w:right w:val="single" w:sz="4" w:space="0" w:color="FFFFFF" w:themeColor="light1"/>
        </w:tcBorders>
        <w:shd w:val="clear" w:color="FFD865" w:fill="FFD865" w:themeFill="accent4"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FFD865" w:fill="FFD865" w:themeFill="accent4" w:themeFillTint="9A"/>
      </w:tcPr>
    </w:tblStylePr>
    <w:tblStylePr w:type="band2Horz">
      <w:tblPr/>
      <w:tcPr>
        <w:tcBorders>
          <w:top w:val="single" w:sz="4" w:space="0" w:color="FFFFFF" w:themeColor="light1"/>
          <w:bottom w:val="single" w:sz="4" w:space="0" w:color="FFFFFF" w:themeColor="light1"/>
        </w:tcBorders>
        <w:shd w:val="clear" w:color="FFD865" w:fill="FFD865" w:themeFill="accent4" w:themeFillTint="9A"/>
      </w:tcPr>
    </w:tblStylePr>
  </w:style>
  <w:style w:type="table" w:customStyle="1" w:styleId="ListTable5Dark-Accent51">
    <w:name w:val="List Table 5 Dark - Accent 51"/>
    <w:basedOn w:val="TableNormal"/>
    <w:uiPriority w:val="99"/>
    <w:pPr>
      <w:spacing w:after="0" w:line="240" w:lineRule="auto"/>
    </w:pPr>
    <w:tblPr>
      <w:tblStyleRowBandSize w:val="1"/>
      <w:tblStyleColBandSize w:val="1"/>
      <w:tblBorders>
        <w:top w:val="single" w:sz="32" w:space="0" w:color="8DA9DB" w:themeColor="accent5" w:themeTint="9A"/>
        <w:left w:val="single" w:sz="32" w:space="0" w:color="8DA9DB" w:themeColor="accent5" w:themeTint="9A"/>
        <w:bottom w:val="single" w:sz="32" w:space="0" w:color="8DA9DB" w:themeColor="accent5" w:themeTint="9A"/>
        <w:right w:val="single" w:sz="32" w:space="0" w:color="8DA9DB" w:themeColor="accent5" w:themeTint="9A"/>
      </w:tblBorders>
      <w:shd w:val="clear" w:color="8DA9DB" w:fill="8DA9DB" w:themeFill="accent5" w:themeFillTint="9A"/>
    </w:tblPr>
    <w:tblStylePr w:type="firstRow">
      <w:rPr>
        <w:rFonts w:ascii="Arial" w:hAnsi="Arial"/>
        <w:b/>
        <w:color w:val="FFFFFF" w:themeColor="light1"/>
        <w:sz w:val="22"/>
      </w:rPr>
      <w:tblPr/>
      <w:tcPr>
        <w:tcBorders>
          <w:top w:val="single" w:sz="32" w:space="0" w:color="8DA9DB" w:themeColor="accent5" w:themeTint="9A"/>
          <w:bottom w:val="single" w:sz="12" w:space="0" w:color="FFFFFF" w:themeColor="light1"/>
        </w:tcBorders>
        <w:shd w:val="clear" w:color="8DA9DB" w:fill="8DA9DB" w:themeFill="accent5" w:themeFillTint="9A"/>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8DA9DB" w:themeColor="accent5" w:themeTint="9A"/>
          <w:right w:val="single" w:sz="4" w:space="0" w:color="FFFFFF" w:themeColor="light1"/>
        </w:tcBorders>
      </w:tcPr>
    </w:tblStylePr>
    <w:tblStylePr w:type="lastCol">
      <w:tblPr/>
      <w:tcPr>
        <w:tcBorders>
          <w:left w:val="single" w:sz="4" w:space="0" w:color="FFFFFF" w:themeColor="light1"/>
          <w:right w:val="single" w:sz="32" w:space="0" w:color="8DA9DB" w:themeColor="accent5" w:themeTint="9A"/>
        </w:tcBorders>
      </w:tcPr>
    </w:tblStylePr>
    <w:tblStylePr w:type="band1Vert">
      <w:tblPr/>
      <w:tcPr>
        <w:tcBorders>
          <w:left w:val="single" w:sz="4" w:space="0" w:color="FFFFFF" w:themeColor="light1"/>
          <w:right w:val="single" w:sz="4" w:space="0" w:color="FFFFFF" w:themeColor="light1"/>
        </w:tcBorders>
        <w:shd w:val="clear" w:color="8DA9DB" w:fill="8DA9DB" w:themeFill="accent5" w:themeFillTint="9A"/>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8DA9DB" w:fill="8DA9DB" w:themeFill="accent5" w:themeFillTint="9A"/>
      </w:tcPr>
    </w:tblStylePr>
    <w:tblStylePr w:type="band2Horz">
      <w:tblPr/>
      <w:tcPr>
        <w:tcBorders>
          <w:top w:val="single" w:sz="4" w:space="0" w:color="FFFFFF" w:themeColor="light1"/>
          <w:bottom w:val="single" w:sz="4" w:space="0" w:color="FFFFFF" w:themeColor="light1"/>
        </w:tcBorders>
        <w:shd w:val="clear" w:color="8DA9DB" w:fill="8DA9DB" w:themeFill="accent5" w:themeFillTint="9A"/>
      </w:tcPr>
    </w:tblStylePr>
  </w:style>
  <w:style w:type="table" w:customStyle="1" w:styleId="ListTable5Dark-Accent61">
    <w:name w:val="List Table 5 Dark - Accent 61"/>
    <w:basedOn w:val="TableNormal"/>
    <w:uiPriority w:val="99"/>
    <w:pPr>
      <w:spacing w:after="0" w:line="240" w:lineRule="auto"/>
    </w:pPr>
    <w:tblPr>
      <w:tblStyleRowBandSize w:val="1"/>
      <w:tblStyleColBandSize w:val="1"/>
      <w:tblBorders>
        <w:top w:val="single" w:sz="32" w:space="0" w:color="A9D08E" w:themeColor="accent6" w:themeTint="98"/>
        <w:left w:val="single" w:sz="32" w:space="0" w:color="A9D08E" w:themeColor="accent6" w:themeTint="98"/>
        <w:bottom w:val="single" w:sz="32" w:space="0" w:color="A9D08E" w:themeColor="accent6" w:themeTint="98"/>
        <w:right w:val="single" w:sz="32" w:space="0" w:color="A9D08E" w:themeColor="accent6" w:themeTint="98"/>
      </w:tblBorders>
      <w:shd w:val="clear" w:color="A9D08E" w:fill="A9D08E" w:themeFill="accent6" w:themeFillTint="98"/>
    </w:tblPr>
    <w:tblStylePr w:type="firstRow">
      <w:rPr>
        <w:rFonts w:ascii="Arial" w:hAnsi="Arial"/>
        <w:b/>
        <w:color w:val="FFFFFF" w:themeColor="light1"/>
        <w:sz w:val="22"/>
      </w:rPr>
      <w:tblPr/>
      <w:tcPr>
        <w:tcBorders>
          <w:top w:val="single" w:sz="32" w:space="0" w:color="A9D08E" w:themeColor="accent6" w:themeTint="98"/>
          <w:bottom w:val="single" w:sz="12" w:space="0" w:color="FFFFFF" w:themeColor="light1"/>
        </w:tcBorders>
        <w:shd w:val="clear" w:color="A9D08E" w:fill="A9D08E" w:themeFill="accent6" w:themeFillTint="98"/>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A9D08E" w:themeColor="accent6" w:themeTint="98"/>
          <w:right w:val="single" w:sz="4" w:space="0" w:color="FFFFFF" w:themeColor="light1"/>
        </w:tcBorders>
      </w:tcPr>
    </w:tblStylePr>
    <w:tblStylePr w:type="lastCol">
      <w:tblPr/>
      <w:tcPr>
        <w:tcBorders>
          <w:left w:val="single" w:sz="4" w:space="0" w:color="FFFFFF" w:themeColor="light1"/>
          <w:right w:val="single" w:sz="32" w:space="0" w:color="A9D08E" w:themeColor="accent6" w:themeTint="98"/>
        </w:tcBorders>
      </w:tcPr>
    </w:tblStylePr>
    <w:tblStylePr w:type="band1Vert">
      <w:tblPr/>
      <w:tcPr>
        <w:tcBorders>
          <w:left w:val="single" w:sz="4" w:space="0" w:color="FFFFFF" w:themeColor="light1"/>
          <w:right w:val="single" w:sz="4" w:space="0" w:color="FFFFFF" w:themeColor="light1"/>
        </w:tcBorders>
        <w:shd w:val="clear" w:color="A9D08E" w:fill="A9D08E" w:themeFill="accent6" w:themeFillTint="98"/>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A9D08E" w:fill="A9D08E" w:themeFill="accent6" w:themeFillTint="98"/>
      </w:tcPr>
    </w:tblStylePr>
    <w:tblStylePr w:type="band2Horz">
      <w:tblPr/>
      <w:tcPr>
        <w:tcBorders>
          <w:top w:val="single" w:sz="4" w:space="0" w:color="FFFFFF" w:themeColor="light1"/>
          <w:bottom w:val="single" w:sz="4" w:space="0" w:color="FFFFFF" w:themeColor="light1"/>
        </w:tcBorders>
        <w:shd w:val="clear" w:color="A9D08E" w:fill="A9D08E" w:themeFill="accent6" w:themeFillTint="98"/>
      </w:tcPr>
    </w:tblStylePr>
  </w:style>
  <w:style w:type="table" w:customStyle="1" w:styleId="ListTable6Colorful-Accent11">
    <w:name w:val="List Table 6 Colorful - Accent 11"/>
    <w:basedOn w:val="TableNormal"/>
    <w:uiPriority w:val="99"/>
    <w:pPr>
      <w:spacing w:after="0" w:line="240" w:lineRule="auto"/>
    </w:pPr>
    <w:tblPr>
      <w:tblStyleRowBandSize w:val="1"/>
      <w:tblStyleColBandSize w:val="1"/>
      <w:tblBorders>
        <w:top w:val="single" w:sz="4" w:space="0" w:color="5B9BD5" w:themeColor="accent1"/>
        <w:bottom w:val="single" w:sz="4" w:space="0" w:color="5B9BD5" w:themeColor="accent1"/>
      </w:tblBorders>
    </w:tblPr>
    <w:tblStylePr w:type="firstRow">
      <w:rPr>
        <w:b/>
        <w:color w:val="245A8D" w:themeColor="accent1" w:themeShade="95"/>
      </w:rPr>
      <w:tblPr/>
      <w:tcPr>
        <w:tcBorders>
          <w:bottom w:val="single" w:sz="4" w:space="0" w:color="5B9BD5" w:themeColor="accent1"/>
        </w:tcBorders>
      </w:tcPr>
    </w:tblStylePr>
    <w:tblStylePr w:type="lastRow">
      <w:rPr>
        <w:b/>
        <w:color w:val="245A8D" w:themeColor="accent1" w:themeShade="95"/>
      </w:rPr>
      <w:tblPr/>
      <w:tcPr>
        <w:tcBorders>
          <w:top w:val="single" w:sz="4" w:space="0" w:color="5B9BD5" w:themeColor="accent1"/>
        </w:tcBorders>
      </w:tcPr>
    </w:tblStylePr>
    <w:tblStylePr w:type="firstCol">
      <w:rPr>
        <w:b/>
        <w:color w:val="245A8D" w:themeColor="accent1" w:themeShade="95"/>
      </w:rPr>
    </w:tblStylePr>
    <w:tblStylePr w:type="lastCol">
      <w:rPr>
        <w:b/>
        <w:color w:val="245A8D" w:themeColor="accent1" w:themeShade="95"/>
      </w:rPr>
    </w:tblStylePr>
    <w:tblStylePr w:type="band1Vert">
      <w:tblPr/>
      <w:tcPr>
        <w:shd w:val="clear" w:color="D5E5F4" w:fill="D5E5F4" w:themeFill="accent1" w:themeFillTint="40"/>
      </w:tcPr>
    </w:tblStylePr>
    <w:tblStylePr w:type="band1Horz">
      <w:rPr>
        <w:rFonts w:ascii="Arial" w:hAnsi="Arial"/>
        <w:color w:val="245A8D" w:themeColor="accent1" w:themeShade="95"/>
        <w:sz w:val="22"/>
      </w:rPr>
      <w:tblPr/>
      <w:tcPr>
        <w:shd w:val="clear" w:color="D5E5F4" w:fill="D5E5F4" w:themeFill="accent1" w:themeFillTint="40"/>
      </w:tcPr>
    </w:tblStylePr>
    <w:tblStylePr w:type="band2Horz">
      <w:rPr>
        <w:rFonts w:ascii="Arial" w:hAnsi="Arial"/>
        <w:color w:val="245A8D" w:themeColor="accent1" w:themeShade="95"/>
        <w:sz w:val="22"/>
      </w:rPr>
    </w:tblStylePr>
  </w:style>
  <w:style w:type="table" w:customStyle="1" w:styleId="ListTable6Colorful-Accent21">
    <w:name w:val="List Table 6 Colorful - Accent 21"/>
    <w:basedOn w:val="TableNormal"/>
    <w:uiPriority w:val="99"/>
    <w:pPr>
      <w:spacing w:after="0" w:line="240" w:lineRule="auto"/>
    </w:pPr>
    <w:tblPr>
      <w:tblStyleRowBandSize w:val="1"/>
      <w:tblStyleColBandSize w:val="1"/>
      <w:tblBorders>
        <w:top w:val="single" w:sz="4" w:space="0" w:color="F4B184" w:themeColor="accent2" w:themeTint="97"/>
        <w:bottom w:val="single" w:sz="4" w:space="0" w:color="F4B184" w:themeColor="accent2" w:themeTint="97"/>
      </w:tblBorders>
    </w:tblPr>
    <w:tblStylePr w:type="firstRow">
      <w:rPr>
        <w:b/>
        <w:color w:val="F4B184" w:themeColor="accent2" w:themeTint="97" w:themeShade="95"/>
      </w:rPr>
      <w:tblPr/>
      <w:tcPr>
        <w:tcBorders>
          <w:bottom w:val="single" w:sz="4" w:space="0" w:color="F4B184" w:themeColor="accent2" w:themeTint="97"/>
        </w:tcBorders>
      </w:tcPr>
    </w:tblStylePr>
    <w:tblStylePr w:type="lastRow">
      <w:rPr>
        <w:b/>
        <w:color w:val="F4B184" w:themeColor="accent2" w:themeTint="97" w:themeShade="95"/>
      </w:rPr>
      <w:tblPr/>
      <w:tcPr>
        <w:tcBorders>
          <w:top w:val="single" w:sz="4" w:space="0" w:color="F4B184" w:themeColor="accent2" w:themeTint="97"/>
        </w:tcBorders>
      </w:tcPr>
    </w:tblStylePr>
    <w:tblStylePr w:type="firstCol">
      <w:rPr>
        <w:b/>
        <w:color w:val="F4B184" w:themeColor="accent2" w:themeTint="97" w:themeShade="95"/>
      </w:rPr>
    </w:tblStylePr>
    <w:tblStylePr w:type="lastCol">
      <w:rPr>
        <w:b/>
        <w:color w:val="F4B184" w:themeColor="accent2" w:themeTint="97" w:themeShade="95"/>
      </w:rPr>
    </w:tblStylePr>
    <w:tblStylePr w:type="band1Vert">
      <w:tblPr/>
      <w:tcPr>
        <w:shd w:val="clear" w:color="FADECB" w:fill="FADECB" w:themeFill="accent2" w:themeFillTint="40"/>
      </w:tcPr>
    </w:tblStylePr>
    <w:tblStylePr w:type="band1Horz">
      <w:rPr>
        <w:rFonts w:ascii="Arial" w:hAnsi="Arial"/>
        <w:color w:val="F4B184" w:themeColor="accent2" w:themeTint="97" w:themeShade="95"/>
        <w:sz w:val="22"/>
      </w:rPr>
      <w:tblPr/>
      <w:tcPr>
        <w:shd w:val="clear" w:color="FADECB" w:fill="FADECB" w:themeFill="accent2" w:themeFillTint="40"/>
      </w:tcPr>
    </w:tblStylePr>
    <w:tblStylePr w:type="band2Horz">
      <w:rPr>
        <w:rFonts w:ascii="Arial" w:hAnsi="Arial"/>
        <w:color w:val="F4B184" w:themeColor="accent2" w:themeTint="97" w:themeShade="95"/>
        <w:sz w:val="22"/>
      </w:rPr>
    </w:tblStylePr>
  </w:style>
  <w:style w:type="table" w:customStyle="1" w:styleId="ListTable6Colorful-Accent31">
    <w:name w:val="List Table 6 Colorful - Accent 31"/>
    <w:basedOn w:val="TableNormal"/>
    <w:uiPriority w:val="99"/>
    <w:pPr>
      <w:spacing w:after="0" w:line="240" w:lineRule="auto"/>
    </w:pPr>
    <w:tblPr>
      <w:tblStyleRowBandSize w:val="1"/>
      <w:tblStyleColBandSize w:val="1"/>
      <w:tblBorders>
        <w:top w:val="single" w:sz="4" w:space="0" w:color="C9C9C9" w:themeColor="accent3" w:themeTint="98"/>
        <w:bottom w:val="single" w:sz="4" w:space="0" w:color="C9C9C9" w:themeColor="accent3" w:themeTint="98"/>
      </w:tblBorders>
    </w:tblPr>
    <w:tblStylePr w:type="firstRow">
      <w:rPr>
        <w:b/>
        <w:color w:val="C9C9C9" w:themeColor="accent3" w:themeTint="98" w:themeShade="95"/>
      </w:rPr>
      <w:tblPr/>
      <w:tcPr>
        <w:tcBorders>
          <w:bottom w:val="single" w:sz="4" w:space="0" w:color="C9C9C9" w:themeColor="accent3" w:themeTint="98"/>
        </w:tcBorders>
      </w:tcPr>
    </w:tblStylePr>
    <w:tblStylePr w:type="lastRow">
      <w:rPr>
        <w:b/>
        <w:color w:val="C9C9C9" w:themeColor="accent3" w:themeTint="98" w:themeShade="95"/>
      </w:rPr>
      <w:tblPr/>
      <w:tcPr>
        <w:tcBorders>
          <w:top w:val="single" w:sz="4" w:space="0" w:color="C9C9C9" w:themeColor="accent3" w:themeTint="98"/>
        </w:tcBorders>
      </w:tcPr>
    </w:tblStylePr>
    <w:tblStylePr w:type="firstCol">
      <w:rPr>
        <w:b/>
        <w:color w:val="C9C9C9" w:themeColor="accent3" w:themeTint="98" w:themeShade="95"/>
      </w:rPr>
    </w:tblStylePr>
    <w:tblStylePr w:type="lastCol">
      <w:rPr>
        <w:b/>
        <w:color w:val="C9C9C9" w:themeColor="accent3" w:themeTint="98" w:themeShade="95"/>
      </w:rPr>
    </w:tblStylePr>
    <w:tblStylePr w:type="band1Vert">
      <w:tblPr/>
      <w:tcPr>
        <w:shd w:val="clear" w:color="E8E8E8" w:fill="E8E8E8" w:themeFill="accent3" w:themeFillTint="40"/>
      </w:tcPr>
    </w:tblStylePr>
    <w:tblStylePr w:type="band1Horz">
      <w:rPr>
        <w:rFonts w:ascii="Arial" w:hAnsi="Arial"/>
        <w:color w:val="C9C9C9" w:themeColor="accent3" w:themeTint="98" w:themeShade="95"/>
        <w:sz w:val="22"/>
      </w:rPr>
      <w:tblPr/>
      <w:tcPr>
        <w:shd w:val="clear" w:color="E8E8E8" w:fill="E8E8E8" w:themeFill="accent3" w:themeFillTint="40"/>
      </w:tcPr>
    </w:tblStylePr>
    <w:tblStylePr w:type="band2Horz">
      <w:rPr>
        <w:rFonts w:ascii="Arial" w:hAnsi="Arial"/>
        <w:color w:val="C9C9C9" w:themeColor="accent3" w:themeTint="98" w:themeShade="95"/>
        <w:sz w:val="22"/>
      </w:rPr>
    </w:tblStylePr>
  </w:style>
  <w:style w:type="table" w:customStyle="1" w:styleId="ListTable6Colorful-Accent41">
    <w:name w:val="List Table 6 Colorful - Accent 41"/>
    <w:basedOn w:val="TableNormal"/>
    <w:uiPriority w:val="99"/>
    <w:pPr>
      <w:spacing w:after="0" w:line="240" w:lineRule="auto"/>
    </w:pPr>
    <w:tblPr>
      <w:tblStyleRowBandSize w:val="1"/>
      <w:tblStyleColBandSize w:val="1"/>
      <w:tblBorders>
        <w:top w:val="single" w:sz="4" w:space="0" w:color="FFD865" w:themeColor="accent4" w:themeTint="9A"/>
        <w:bottom w:val="single" w:sz="4" w:space="0" w:color="FFD865" w:themeColor="accent4" w:themeTint="9A"/>
      </w:tblBorders>
    </w:tblPr>
    <w:tblStylePr w:type="firstRow">
      <w:rPr>
        <w:b/>
        <w:color w:val="FFD865" w:themeColor="accent4" w:themeTint="9A" w:themeShade="95"/>
      </w:rPr>
      <w:tblPr/>
      <w:tcPr>
        <w:tcBorders>
          <w:bottom w:val="single" w:sz="4" w:space="0" w:color="FFD865" w:themeColor="accent4" w:themeTint="9A"/>
        </w:tcBorders>
      </w:tcPr>
    </w:tblStylePr>
    <w:tblStylePr w:type="lastRow">
      <w:rPr>
        <w:b/>
        <w:color w:val="FFD865" w:themeColor="accent4" w:themeTint="9A" w:themeShade="95"/>
      </w:rPr>
      <w:tblPr/>
      <w:tcPr>
        <w:tcBorders>
          <w:top w:val="single" w:sz="4" w:space="0" w:color="FFD865" w:themeColor="accent4" w:themeTint="9A"/>
        </w:tcBorders>
      </w:tcPr>
    </w:tblStylePr>
    <w:tblStylePr w:type="firstCol">
      <w:rPr>
        <w:b/>
        <w:color w:val="FFD865" w:themeColor="accent4" w:themeTint="9A" w:themeShade="95"/>
      </w:rPr>
    </w:tblStylePr>
    <w:tblStylePr w:type="lastCol">
      <w:rPr>
        <w:b/>
        <w:color w:val="FFD865" w:themeColor="accent4" w:themeTint="9A" w:themeShade="95"/>
      </w:rPr>
    </w:tblStylePr>
    <w:tblStylePr w:type="band1Vert">
      <w:tblPr/>
      <w:tcPr>
        <w:shd w:val="clear" w:color="FFEFBF" w:fill="FFEFBF" w:themeFill="accent4" w:themeFillTint="40"/>
      </w:tcPr>
    </w:tblStylePr>
    <w:tblStylePr w:type="band1Horz">
      <w:rPr>
        <w:rFonts w:ascii="Arial" w:hAnsi="Arial"/>
        <w:color w:val="FFD865" w:themeColor="accent4" w:themeTint="9A" w:themeShade="95"/>
        <w:sz w:val="22"/>
      </w:rPr>
      <w:tblPr/>
      <w:tcPr>
        <w:shd w:val="clear" w:color="FFEFBF" w:fill="FFEFBF" w:themeFill="accent4" w:themeFillTint="40"/>
      </w:tcPr>
    </w:tblStylePr>
    <w:tblStylePr w:type="band2Horz">
      <w:rPr>
        <w:rFonts w:ascii="Arial" w:hAnsi="Arial"/>
        <w:color w:val="FFD865" w:themeColor="accent4" w:themeTint="9A" w:themeShade="95"/>
        <w:sz w:val="22"/>
      </w:rPr>
    </w:tblStylePr>
  </w:style>
  <w:style w:type="table" w:customStyle="1" w:styleId="ListTable6Colorful-Accent51">
    <w:name w:val="List Table 6 Colorful - Accent 51"/>
    <w:basedOn w:val="TableNormal"/>
    <w:uiPriority w:val="99"/>
    <w:pPr>
      <w:spacing w:after="0" w:line="240" w:lineRule="auto"/>
    </w:pPr>
    <w:tblPr>
      <w:tblStyleRowBandSize w:val="1"/>
      <w:tblStyleColBandSize w:val="1"/>
      <w:tblBorders>
        <w:top w:val="single" w:sz="4" w:space="0" w:color="8DA9DB" w:themeColor="accent5" w:themeTint="9A"/>
        <w:bottom w:val="single" w:sz="4" w:space="0" w:color="8DA9DB" w:themeColor="accent5" w:themeTint="9A"/>
      </w:tblBorders>
    </w:tblPr>
    <w:tblStylePr w:type="firstRow">
      <w:rPr>
        <w:b/>
        <w:color w:val="8DA9DB" w:themeColor="accent5" w:themeTint="9A" w:themeShade="95"/>
      </w:rPr>
      <w:tblPr/>
      <w:tcPr>
        <w:tcBorders>
          <w:bottom w:val="single" w:sz="4" w:space="0" w:color="8DA9DB" w:themeColor="accent5" w:themeTint="9A"/>
        </w:tcBorders>
      </w:tcPr>
    </w:tblStylePr>
    <w:tblStylePr w:type="lastRow">
      <w:rPr>
        <w:b/>
        <w:color w:val="8DA9DB" w:themeColor="accent5" w:themeTint="9A" w:themeShade="95"/>
      </w:rPr>
      <w:tblPr/>
      <w:tcPr>
        <w:tcBorders>
          <w:top w:val="single" w:sz="4" w:space="0" w:color="8DA9DB" w:themeColor="accent5" w:themeTint="9A"/>
        </w:tcBorders>
      </w:tcPr>
    </w:tblStylePr>
    <w:tblStylePr w:type="firstCol">
      <w:rPr>
        <w:b/>
        <w:color w:val="8DA9DB" w:themeColor="accent5" w:themeTint="9A" w:themeShade="95"/>
      </w:rPr>
    </w:tblStylePr>
    <w:tblStylePr w:type="lastCol">
      <w:rPr>
        <w:b/>
        <w:color w:val="8DA9DB" w:themeColor="accent5" w:themeTint="9A" w:themeShade="95"/>
      </w:rPr>
    </w:tblStylePr>
    <w:tblStylePr w:type="band1Vert">
      <w:tblPr/>
      <w:tcPr>
        <w:shd w:val="clear" w:color="CFDBF0" w:fill="CFDBF0" w:themeFill="accent5" w:themeFillTint="40"/>
      </w:tcPr>
    </w:tblStylePr>
    <w:tblStylePr w:type="band1Horz">
      <w:rPr>
        <w:rFonts w:ascii="Arial" w:hAnsi="Arial"/>
        <w:color w:val="8DA9DB" w:themeColor="accent5" w:themeTint="9A" w:themeShade="95"/>
        <w:sz w:val="22"/>
      </w:rPr>
      <w:tblPr/>
      <w:tcPr>
        <w:shd w:val="clear" w:color="CFDBF0" w:fill="CFDBF0" w:themeFill="accent5" w:themeFillTint="40"/>
      </w:tcPr>
    </w:tblStylePr>
    <w:tblStylePr w:type="band2Horz">
      <w:rPr>
        <w:rFonts w:ascii="Arial" w:hAnsi="Arial"/>
        <w:color w:val="8DA9DB" w:themeColor="accent5" w:themeTint="9A" w:themeShade="95"/>
        <w:sz w:val="22"/>
      </w:rPr>
    </w:tblStylePr>
  </w:style>
  <w:style w:type="table" w:customStyle="1" w:styleId="ListTable6Colorful-Accent61">
    <w:name w:val="List Table 6 Colorful - Accent 61"/>
    <w:basedOn w:val="TableNormal"/>
    <w:uiPriority w:val="99"/>
    <w:pPr>
      <w:spacing w:after="0" w:line="240" w:lineRule="auto"/>
    </w:pPr>
    <w:tblPr>
      <w:tblStyleRowBandSize w:val="1"/>
      <w:tblStyleColBandSize w:val="1"/>
      <w:tblBorders>
        <w:top w:val="single" w:sz="4" w:space="0" w:color="A9D08E" w:themeColor="accent6" w:themeTint="98"/>
        <w:bottom w:val="single" w:sz="4" w:space="0" w:color="A9D08E" w:themeColor="accent6" w:themeTint="98"/>
      </w:tblBorders>
    </w:tblPr>
    <w:tblStylePr w:type="firstRow">
      <w:rPr>
        <w:b/>
        <w:color w:val="A9D08E" w:themeColor="accent6" w:themeTint="98" w:themeShade="95"/>
      </w:rPr>
      <w:tblPr/>
      <w:tcPr>
        <w:tcBorders>
          <w:bottom w:val="single" w:sz="4" w:space="0" w:color="A9D08E" w:themeColor="accent6" w:themeTint="98"/>
        </w:tcBorders>
      </w:tcPr>
    </w:tblStylePr>
    <w:tblStylePr w:type="lastRow">
      <w:rPr>
        <w:b/>
        <w:color w:val="A9D08E" w:themeColor="accent6" w:themeTint="98" w:themeShade="95"/>
      </w:rPr>
      <w:tblPr/>
      <w:tcPr>
        <w:tcBorders>
          <w:top w:val="single" w:sz="4" w:space="0" w:color="A9D08E" w:themeColor="accent6" w:themeTint="98"/>
        </w:tcBorders>
      </w:tcPr>
    </w:tblStylePr>
    <w:tblStylePr w:type="firstCol">
      <w:rPr>
        <w:b/>
        <w:color w:val="A9D08E" w:themeColor="accent6" w:themeTint="98" w:themeShade="95"/>
      </w:rPr>
    </w:tblStylePr>
    <w:tblStylePr w:type="lastCol">
      <w:rPr>
        <w:b/>
        <w:color w:val="A9D08E" w:themeColor="accent6" w:themeTint="98" w:themeShade="95"/>
      </w:rPr>
    </w:tblStylePr>
    <w:tblStylePr w:type="band1Vert">
      <w:tblPr/>
      <w:tcPr>
        <w:shd w:val="clear" w:color="DAEBCF" w:fill="DAEBCF" w:themeFill="accent6" w:themeFillTint="40"/>
      </w:tcPr>
    </w:tblStylePr>
    <w:tblStylePr w:type="band1Horz">
      <w:rPr>
        <w:rFonts w:ascii="Arial" w:hAnsi="Arial"/>
        <w:color w:val="A9D08E" w:themeColor="accent6" w:themeTint="98" w:themeShade="95"/>
        <w:sz w:val="22"/>
      </w:rPr>
      <w:tblPr/>
      <w:tcPr>
        <w:shd w:val="clear" w:color="DAEBCF" w:fill="DAEBCF" w:themeFill="accent6" w:themeFillTint="40"/>
      </w:tcPr>
    </w:tblStylePr>
    <w:tblStylePr w:type="band2Horz">
      <w:rPr>
        <w:rFonts w:ascii="Arial" w:hAnsi="Arial"/>
        <w:color w:val="A9D08E" w:themeColor="accent6" w:themeTint="98" w:themeShade="95"/>
        <w:sz w:val="22"/>
      </w:rPr>
    </w:tblStylePr>
  </w:style>
  <w:style w:type="table" w:customStyle="1" w:styleId="ListTable7Colorful-Accent11">
    <w:name w:val="List Table 7 Colorful - Accent 11"/>
    <w:basedOn w:val="TableNormal"/>
    <w:uiPriority w:val="99"/>
    <w:pPr>
      <w:spacing w:after="0" w:line="240" w:lineRule="auto"/>
    </w:pPr>
    <w:tblPr>
      <w:tblStyleRowBandSize w:val="1"/>
      <w:tblStyleColBandSize w:val="1"/>
      <w:tblBorders>
        <w:right w:val="single" w:sz="4" w:space="0" w:color="5B9BD5" w:themeColor="accent1"/>
      </w:tblBorders>
    </w:tblPr>
    <w:tblStylePr w:type="firstRow">
      <w:rPr>
        <w:rFonts w:ascii="Arial" w:hAnsi="Arial"/>
        <w:i/>
        <w:color w:val="245A8D" w:themeColor="accent1" w:themeShade="95"/>
        <w:sz w:val="22"/>
      </w:rPr>
      <w:tblPr/>
      <w:tcPr>
        <w:tcBorders>
          <w:top w:val="none" w:sz="4" w:space="0" w:color="000000"/>
          <w:left w:val="none" w:sz="4" w:space="0" w:color="000000"/>
          <w:bottom w:val="single" w:sz="4" w:space="0" w:color="5B9BD5" w:themeColor="accent1"/>
          <w:right w:val="none" w:sz="4" w:space="0" w:color="000000"/>
        </w:tcBorders>
        <w:shd w:val="clear" w:color="FFFFFF" w:fill="FFFFFF" w:themeFill="light1"/>
      </w:tcPr>
    </w:tblStylePr>
    <w:tblStylePr w:type="lastRow">
      <w:rPr>
        <w:rFonts w:ascii="Arial" w:hAnsi="Arial"/>
        <w:i/>
        <w:color w:val="245A8D" w:themeColor="accent1" w:themeShade="95"/>
        <w:sz w:val="22"/>
      </w:rPr>
      <w:tblPr/>
      <w:tcPr>
        <w:tcBorders>
          <w:top w:val="single" w:sz="4" w:space="0" w:color="5B9BD5" w:themeColor="accent1"/>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245A8D" w:themeColor="accent1" w:themeShade="95"/>
        <w:sz w:val="22"/>
      </w:rPr>
      <w:tblPr/>
      <w:tcPr>
        <w:tcBorders>
          <w:top w:val="none" w:sz="4" w:space="0" w:color="000000"/>
          <w:left w:val="none" w:sz="4" w:space="0" w:color="000000"/>
          <w:bottom w:val="none" w:sz="4" w:space="0" w:color="000000"/>
          <w:right w:val="single" w:sz="4" w:space="0" w:color="5B9BD5" w:themeColor="accent1"/>
        </w:tcBorders>
        <w:shd w:val="clear" w:color="FFFFFF" w:fill="FFFFFF"/>
      </w:tcPr>
    </w:tblStylePr>
    <w:tblStylePr w:type="lastCol">
      <w:rPr>
        <w:rFonts w:ascii="Arial" w:hAnsi="Arial"/>
        <w:i/>
        <w:color w:val="245A8D" w:themeColor="accent1" w:themeShade="95"/>
        <w:sz w:val="22"/>
      </w:rPr>
      <w:tblPr/>
      <w:tcPr>
        <w:tcBorders>
          <w:top w:val="none" w:sz="4" w:space="0" w:color="000000"/>
          <w:left w:val="single" w:sz="4" w:space="0" w:color="5B9BD5" w:themeColor="accent1"/>
          <w:bottom w:val="none" w:sz="4" w:space="0" w:color="000000"/>
          <w:right w:val="none" w:sz="4" w:space="0" w:color="000000"/>
        </w:tcBorders>
        <w:shd w:val="clear" w:color="FFFFFF" w:fill="FFFFFF"/>
      </w:tcPr>
    </w:tblStylePr>
    <w:tblStylePr w:type="band1Vert">
      <w:tblPr/>
      <w:tcPr>
        <w:shd w:val="clear" w:color="D5E5F4" w:fill="D5E5F4" w:themeFill="accent1" w:themeFillTint="40"/>
      </w:tcPr>
    </w:tblStylePr>
    <w:tblStylePr w:type="band1Horz">
      <w:rPr>
        <w:rFonts w:ascii="Arial" w:hAnsi="Arial"/>
        <w:color w:val="245A8D" w:themeColor="accent1" w:themeShade="95"/>
        <w:sz w:val="22"/>
      </w:rPr>
      <w:tblPr/>
      <w:tcPr>
        <w:shd w:val="clear" w:color="D5E5F4" w:fill="D5E5F4" w:themeFill="accent1" w:themeFillTint="40"/>
      </w:tcPr>
    </w:tblStylePr>
    <w:tblStylePr w:type="band2Horz">
      <w:rPr>
        <w:rFonts w:ascii="Arial" w:hAnsi="Arial"/>
        <w:color w:val="245A8D" w:themeColor="accent1" w:themeShade="95"/>
        <w:sz w:val="22"/>
      </w:rPr>
    </w:tblStylePr>
  </w:style>
  <w:style w:type="table" w:customStyle="1" w:styleId="ListTable7Colorful-Accent21">
    <w:name w:val="List Table 7 Colorful - Accent 21"/>
    <w:basedOn w:val="TableNormal"/>
    <w:uiPriority w:val="99"/>
    <w:pPr>
      <w:spacing w:after="0" w:line="240" w:lineRule="auto"/>
    </w:pPr>
    <w:tblPr>
      <w:tblStyleRowBandSize w:val="1"/>
      <w:tblStyleColBandSize w:val="1"/>
      <w:tblBorders>
        <w:right w:val="single" w:sz="4" w:space="0" w:color="F4B184" w:themeColor="accent2" w:themeTint="97"/>
      </w:tblBorders>
    </w:tblPr>
    <w:tblStylePr w:type="firstRow">
      <w:rPr>
        <w:rFonts w:ascii="Arial" w:hAnsi="Arial"/>
        <w:i/>
        <w:color w:val="F4B184" w:themeColor="accent2" w:themeTint="97" w:themeShade="95"/>
        <w:sz w:val="22"/>
      </w:rPr>
      <w:tblPr/>
      <w:tcPr>
        <w:tcBorders>
          <w:top w:val="none" w:sz="4" w:space="0" w:color="000000"/>
          <w:left w:val="none" w:sz="4" w:space="0" w:color="000000"/>
          <w:bottom w:val="single" w:sz="4" w:space="0" w:color="F4B184" w:themeColor="accent2" w:themeTint="97"/>
          <w:right w:val="none" w:sz="4" w:space="0" w:color="000000"/>
        </w:tcBorders>
        <w:shd w:val="clear" w:color="FFFFFF" w:fill="FFFFFF" w:themeFill="light1"/>
      </w:tcPr>
    </w:tblStylePr>
    <w:tblStylePr w:type="lastRow">
      <w:rPr>
        <w:rFonts w:ascii="Arial" w:hAnsi="Arial"/>
        <w:i/>
        <w:color w:val="F4B184" w:themeColor="accent2" w:themeTint="97" w:themeShade="95"/>
        <w:sz w:val="22"/>
      </w:rPr>
      <w:tblPr/>
      <w:tcPr>
        <w:tcBorders>
          <w:top w:val="single" w:sz="4" w:space="0" w:color="F4B184" w:themeColor="accent2" w:themeTint="97"/>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4B184" w:themeColor="accent2" w:themeTint="97" w:themeShade="95"/>
        <w:sz w:val="22"/>
      </w:rPr>
      <w:tblPr/>
      <w:tcPr>
        <w:tcBorders>
          <w:top w:val="none" w:sz="4" w:space="0" w:color="000000"/>
          <w:left w:val="none" w:sz="4" w:space="0" w:color="000000"/>
          <w:bottom w:val="none" w:sz="4" w:space="0" w:color="000000"/>
          <w:right w:val="single" w:sz="4" w:space="0" w:color="F4B184" w:themeColor="accent2" w:themeTint="97"/>
        </w:tcBorders>
        <w:shd w:val="clear" w:color="FFFFFF" w:fill="FFFFFF"/>
      </w:tcPr>
    </w:tblStylePr>
    <w:tblStylePr w:type="lastCol">
      <w:rPr>
        <w:rFonts w:ascii="Arial" w:hAnsi="Arial"/>
        <w:i/>
        <w:color w:val="F4B184" w:themeColor="accent2" w:themeTint="97" w:themeShade="95"/>
        <w:sz w:val="22"/>
      </w:rPr>
      <w:tblPr/>
      <w:tcPr>
        <w:tcBorders>
          <w:top w:val="none" w:sz="4" w:space="0" w:color="000000"/>
          <w:left w:val="single" w:sz="4" w:space="0" w:color="F4B184" w:themeColor="accent2" w:themeTint="97"/>
          <w:bottom w:val="none" w:sz="4" w:space="0" w:color="000000"/>
          <w:right w:val="none" w:sz="4" w:space="0" w:color="000000"/>
        </w:tcBorders>
        <w:shd w:val="clear" w:color="FFFFFF" w:fill="FFFFFF"/>
      </w:tcPr>
    </w:tblStylePr>
    <w:tblStylePr w:type="band1Vert">
      <w:tblPr/>
      <w:tcPr>
        <w:shd w:val="clear" w:color="FADECB" w:fill="FADECB" w:themeFill="accent2" w:themeFillTint="40"/>
      </w:tcPr>
    </w:tblStylePr>
    <w:tblStylePr w:type="band1Horz">
      <w:rPr>
        <w:rFonts w:ascii="Arial" w:hAnsi="Arial"/>
        <w:color w:val="F4B184" w:themeColor="accent2" w:themeTint="97" w:themeShade="95"/>
        <w:sz w:val="22"/>
      </w:rPr>
      <w:tblPr/>
      <w:tcPr>
        <w:shd w:val="clear" w:color="FADECB" w:fill="FADECB" w:themeFill="accent2" w:themeFillTint="40"/>
      </w:tcPr>
    </w:tblStylePr>
    <w:tblStylePr w:type="band2Horz">
      <w:rPr>
        <w:rFonts w:ascii="Arial" w:hAnsi="Arial"/>
        <w:color w:val="F4B184" w:themeColor="accent2" w:themeTint="97" w:themeShade="95"/>
        <w:sz w:val="22"/>
      </w:rPr>
    </w:tblStylePr>
  </w:style>
  <w:style w:type="table" w:customStyle="1" w:styleId="ListTable7Colorful-Accent31">
    <w:name w:val="List Table 7 Colorful - Accent 31"/>
    <w:basedOn w:val="TableNormal"/>
    <w:uiPriority w:val="99"/>
    <w:pPr>
      <w:spacing w:after="0" w:line="240" w:lineRule="auto"/>
    </w:pPr>
    <w:tblPr>
      <w:tblStyleRowBandSize w:val="1"/>
      <w:tblStyleColBandSize w:val="1"/>
      <w:tblBorders>
        <w:right w:val="single" w:sz="4" w:space="0" w:color="C9C9C9" w:themeColor="accent3" w:themeTint="98"/>
      </w:tblBorders>
    </w:tblPr>
    <w:tblStylePr w:type="firstRow">
      <w:rPr>
        <w:rFonts w:ascii="Arial" w:hAnsi="Arial"/>
        <w:i/>
        <w:color w:val="C9C9C9" w:themeColor="accent3" w:themeTint="98" w:themeShade="95"/>
        <w:sz w:val="22"/>
      </w:rPr>
      <w:tblPr/>
      <w:tcPr>
        <w:tcBorders>
          <w:top w:val="none" w:sz="4" w:space="0" w:color="000000"/>
          <w:left w:val="none" w:sz="4" w:space="0" w:color="000000"/>
          <w:bottom w:val="single" w:sz="4" w:space="0" w:color="C9C9C9" w:themeColor="accent3" w:themeTint="98"/>
          <w:right w:val="none" w:sz="4" w:space="0" w:color="000000"/>
        </w:tcBorders>
        <w:shd w:val="clear" w:color="FFFFFF" w:fill="FFFFFF" w:themeFill="light1"/>
      </w:tcPr>
    </w:tblStylePr>
    <w:tblStylePr w:type="lastRow">
      <w:rPr>
        <w:rFonts w:ascii="Arial" w:hAnsi="Arial"/>
        <w:i/>
        <w:color w:val="C9C9C9" w:themeColor="accent3" w:themeTint="98" w:themeShade="95"/>
        <w:sz w:val="22"/>
      </w:rPr>
      <w:tblPr/>
      <w:tcPr>
        <w:tcBorders>
          <w:top w:val="single" w:sz="4" w:space="0" w:color="C9C9C9" w:themeColor="accent3"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C9C9C9" w:themeColor="accent3" w:themeTint="98" w:themeShade="95"/>
        <w:sz w:val="22"/>
      </w:rPr>
      <w:tblPr/>
      <w:tcPr>
        <w:tcBorders>
          <w:top w:val="none" w:sz="4" w:space="0" w:color="000000"/>
          <w:left w:val="none" w:sz="4" w:space="0" w:color="000000"/>
          <w:bottom w:val="none" w:sz="4" w:space="0" w:color="000000"/>
          <w:right w:val="single" w:sz="4" w:space="0" w:color="C9C9C9" w:themeColor="accent3" w:themeTint="98"/>
        </w:tcBorders>
        <w:shd w:val="clear" w:color="FFFFFF" w:fill="FFFFFF"/>
      </w:tcPr>
    </w:tblStylePr>
    <w:tblStylePr w:type="lastCol">
      <w:rPr>
        <w:rFonts w:ascii="Arial" w:hAnsi="Arial"/>
        <w:i/>
        <w:color w:val="C9C9C9" w:themeColor="accent3" w:themeTint="98" w:themeShade="95"/>
        <w:sz w:val="22"/>
      </w:rPr>
      <w:tblPr/>
      <w:tcPr>
        <w:tcBorders>
          <w:top w:val="none" w:sz="4" w:space="0" w:color="000000"/>
          <w:left w:val="single" w:sz="4" w:space="0" w:color="C9C9C9" w:themeColor="accent3" w:themeTint="98"/>
          <w:bottom w:val="none" w:sz="4" w:space="0" w:color="000000"/>
          <w:right w:val="none" w:sz="4" w:space="0" w:color="000000"/>
        </w:tcBorders>
        <w:shd w:val="clear" w:color="FFFFFF" w:fill="FFFFFF"/>
      </w:tcPr>
    </w:tblStylePr>
    <w:tblStylePr w:type="band1Vert">
      <w:tblPr/>
      <w:tcPr>
        <w:shd w:val="clear" w:color="E8E8E8" w:fill="E8E8E8" w:themeFill="accent3" w:themeFillTint="40"/>
      </w:tcPr>
    </w:tblStylePr>
    <w:tblStylePr w:type="band1Horz">
      <w:rPr>
        <w:rFonts w:ascii="Arial" w:hAnsi="Arial"/>
        <w:color w:val="C9C9C9" w:themeColor="accent3" w:themeTint="98" w:themeShade="95"/>
        <w:sz w:val="22"/>
      </w:rPr>
      <w:tblPr/>
      <w:tcPr>
        <w:shd w:val="clear" w:color="E8E8E8" w:fill="E8E8E8" w:themeFill="accent3" w:themeFillTint="40"/>
      </w:tcPr>
    </w:tblStylePr>
    <w:tblStylePr w:type="band2Horz">
      <w:rPr>
        <w:rFonts w:ascii="Arial" w:hAnsi="Arial"/>
        <w:color w:val="C9C9C9" w:themeColor="accent3" w:themeTint="98" w:themeShade="95"/>
        <w:sz w:val="22"/>
      </w:rPr>
    </w:tblStylePr>
  </w:style>
  <w:style w:type="table" w:customStyle="1" w:styleId="ListTable7Colorful-Accent41">
    <w:name w:val="List Table 7 Colorful - Accent 41"/>
    <w:basedOn w:val="TableNormal"/>
    <w:uiPriority w:val="99"/>
    <w:pPr>
      <w:spacing w:after="0" w:line="240" w:lineRule="auto"/>
    </w:pPr>
    <w:tblPr>
      <w:tblStyleRowBandSize w:val="1"/>
      <w:tblStyleColBandSize w:val="1"/>
      <w:tblBorders>
        <w:right w:val="single" w:sz="4" w:space="0" w:color="FFD865" w:themeColor="accent4" w:themeTint="9A"/>
      </w:tblBorders>
    </w:tblPr>
    <w:tblStylePr w:type="firstRow">
      <w:rPr>
        <w:rFonts w:ascii="Arial" w:hAnsi="Arial"/>
        <w:i/>
        <w:color w:val="FFD865" w:themeColor="accent4" w:themeTint="9A" w:themeShade="95"/>
        <w:sz w:val="22"/>
      </w:rPr>
      <w:tblPr/>
      <w:tcPr>
        <w:tcBorders>
          <w:top w:val="none" w:sz="4" w:space="0" w:color="000000"/>
          <w:left w:val="none" w:sz="4" w:space="0" w:color="000000"/>
          <w:bottom w:val="single" w:sz="4" w:space="0" w:color="FFD865" w:themeColor="accent4" w:themeTint="9A"/>
          <w:right w:val="none" w:sz="4" w:space="0" w:color="000000"/>
        </w:tcBorders>
        <w:shd w:val="clear" w:color="FFFFFF" w:fill="FFFFFF" w:themeFill="light1"/>
      </w:tcPr>
    </w:tblStylePr>
    <w:tblStylePr w:type="lastRow">
      <w:rPr>
        <w:rFonts w:ascii="Arial" w:hAnsi="Arial"/>
        <w:i/>
        <w:color w:val="FFD865" w:themeColor="accent4" w:themeTint="9A" w:themeShade="95"/>
        <w:sz w:val="22"/>
      </w:rPr>
      <w:tblPr/>
      <w:tcPr>
        <w:tcBorders>
          <w:top w:val="single" w:sz="4" w:space="0" w:color="FFD865" w:themeColor="accent4"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FFD865" w:themeColor="accent4" w:themeTint="9A" w:themeShade="95"/>
        <w:sz w:val="22"/>
      </w:rPr>
      <w:tblPr/>
      <w:tcPr>
        <w:tcBorders>
          <w:top w:val="none" w:sz="4" w:space="0" w:color="000000"/>
          <w:left w:val="none" w:sz="4" w:space="0" w:color="000000"/>
          <w:bottom w:val="none" w:sz="4" w:space="0" w:color="000000"/>
          <w:right w:val="single" w:sz="4" w:space="0" w:color="FFD865" w:themeColor="accent4" w:themeTint="9A"/>
        </w:tcBorders>
        <w:shd w:val="clear" w:color="FFFFFF" w:fill="FFFFFF"/>
      </w:tcPr>
    </w:tblStylePr>
    <w:tblStylePr w:type="lastCol">
      <w:rPr>
        <w:rFonts w:ascii="Arial" w:hAnsi="Arial"/>
        <w:i/>
        <w:color w:val="FFD865" w:themeColor="accent4" w:themeTint="9A" w:themeShade="95"/>
        <w:sz w:val="22"/>
      </w:rPr>
      <w:tblPr/>
      <w:tcPr>
        <w:tcBorders>
          <w:top w:val="none" w:sz="4" w:space="0" w:color="000000"/>
          <w:left w:val="single" w:sz="4" w:space="0" w:color="FFD865" w:themeColor="accent4" w:themeTint="9A"/>
          <w:bottom w:val="none" w:sz="4" w:space="0" w:color="000000"/>
          <w:right w:val="none" w:sz="4" w:space="0" w:color="000000"/>
        </w:tcBorders>
        <w:shd w:val="clear" w:color="FFFFFF" w:fill="FFFFFF"/>
      </w:tcPr>
    </w:tblStylePr>
    <w:tblStylePr w:type="band1Vert">
      <w:tblPr/>
      <w:tcPr>
        <w:shd w:val="clear" w:color="FFEFBF" w:fill="FFEFBF" w:themeFill="accent4" w:themeFillTint="40"/>
      </w:tcPr>
    </w:tblStylePr>
    <w:tblStylePr w:type="band1Horz">
      <w:rPr>
        <w:rFonts w:ascii="Arial" w:hAnsi="Arial"/>
        <w:color w:val="FFD865" w:themeColor="accent4" w:themeTint="9A" w:themeShade="95"/>
        <w:sz w:val="22"/>
      </w:rPr>
      <w:tblPr/>
      <w:tcPr>
        <w:shd w:val="clear" w:color="FFEFBF" w:fill="FFEFBF" w:themeFill="accent4" w:themeFillTint="40"/>
      </w:tcPr>
    </w:tblStylePr>
    <w:tblStylePr w:type="band2Horz">
      <w:rPr>
        <w:rFonts w:ascii="Arial" w:hAnsi="Arial"/>
        <w:color w:val="FFD865" w:themeColor="accent4" w:themeTint="9A" w:themeShade="95"/>
        <w:sz w:val="22"/>
      </w:rPr>
    </w:tblStylePr>
  </w:style>
  <w:style w:type="table" w:customStyle="1" w:styleId="ListTable7Colorful-Accent51">
    <w:name w:val="List Table 7 Colorful - Accent 51"/>
    <w:basedOn w:val="TableNormal"/>
    <w:uiPriority w:val="99"/>
    <w:pPr>
      <w:spacing w:after="0" w:line="240" w:lineRule="auto"/>
    </w:pPr>
    <w:tblPr>
      <w:tblStyleRowBandSize w:val="1"/>
      <w:tblStyleColBandSize w:val="1"/>
      <w:tblBorders>
        <w:right w:val="single" w:sz="4" w:space="0" w:color="8DA9DB" w:themeColor="accent5" w:themeTint="9A"/>
      </w:tblBorders>
    </w:tblPr>
    <w:tblStylePr w:type="firstRow">
      <w:rPr>
        <w:rFonts w:ascii="Arial" w:hAnsi="Arial"/>
        <w:i/>
        <w:color w:val="8DA9DB" w:themeColor="accent5" w:themeTint="9A" w:themeShade="95"/>
        <w:sz w:val="22"/>
      </w:rPr>
      <w:tblPr/>
      <w:tcPr>
        <w:tcBorders>
          <w:top w:val="none" w:sz="4" w:space="0" w:color="000000"/>
          <w:left w:val="none" w:sz="4" w:space="0" w:color="000000"/>
          <w:bottom w:val="single" w:sz="4" w:space="0" w:color="8DA9DB" w:themeColor="accent5" w:themeTint="9A"/>
          <w:right w:val="none" w:sz="4" w:space="0" w:color="000000"/>
        </w:tcBorders>
        <w:shd w:val="clear" w:color="FFFFFF" w:fill="FFFFFF" w:themeFill="light1"/>
      </w:tcPr>
    </w:tblStylePr>
    <w:tblStylePr w:type="lastRow">
      <w:rPr>
        <w:rFonts w:ascii="Arial" w:hAnsi="Arial"/>
        <w:i/>
        <w:color w:val="8DA9DB" w:themeColor="accent5" w:themeTint="9A" w:themeShade="95"/>
        <w:sz w:val="22"/>
      </w:rPr>
      <w:tblPr/>
      <w:tcPr>
        <w:tcBorders>
          <w:top w:val="single" w:sz="4" w:space="0" w:color="8DA9DB" w:themeColor="accent5" w:themeTint="9A"/>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8DA9DB" w:themeColor="accent5" w:themeTint="9A" w:themeShade="95"/>
        <w:sz w:val="22"/>
      </w:rPr>
      <w:tblPr/>
      <w:tcPr>
        <w:tcBorders>
          <w:top w:val="none" w:sz="4" w:space="0" w:color="000000"/>
          <w:left w:val="none" w:sz="4" w:space="0" w:color="000000"/>
          <w:bottom w:val="none" w:sz="4" w:space="0" w:color="000000"/>
          <w:right w:val="single" w:sz="4" w:space="0" w:color="8DA9DB" w:themeColor="accent5" w:themeTint="9A"/>
        </w:tcBorders>
        <w:shd w:val="clear" w:color="FFFFFF" w:fill="FFFFFF"/>
      </w:tcPr>
    </w:tblStylePr>
    <w:tblStylePr w:type="lastCol">
      <w:rPr>
        <w:rFonts w:ascii="Arial" w:hAnsi="Arial"/>
        <w:i/>
        <w:color w:val="8DA9DB" w:themeColor="accent5" w:themeTint="9A" w:themeShade="95"/>
        <w:sz w:val="22"/>
      </w:rPr>
      <w:tblPr/>
      <w:tcPr>
        <w:tcBorders>
          <w:top w:val="none" w:sz="4" w:space="0" w:color="000000"/>
          <w:left w:val="single" w:sz="4" w:space="0" w:color="8DA9DB" w:themeColor="accent5" w:themeTint="9A"/>
          <w:bottom w:val="none" w:sz="4" w:space="0" w:color="000000"/>
          <w:right w:val="none" w:sz="4" w:space="0" w:color="000000"/>
        </w:tcBorders>
        <w:shd w:val="clear" w:color="FFFFFF" w:fill="FFFFFF"/>
      </w:tcPr>
    </w:tblStylePr>
    <w:tblStylePr w:type="band1Vert">
      <w:tblPr/>
      <w:tcPr>
        <w:shd w:val="clear" w:color="CFDBF0" w:fill="CFDBF0" w:themeFill="accent5" w:themeFillTint="40"/>
      </w:tcPr>
    </w:tblStylePr>
    <w:tblStylePr w:type="band1Horz">
      <w:rPr>
        <w:rFonts w:ascii="Arial" w:hAnsi="Arial"/>
        <w:color w:val="8DA9DB" w:themeColor="accent5" w:themeTint="9A" w:themeShade="95"/>
        <w:sz w:val="22"/>
      </w:rPr>
      <w:tblPr/>
      <w:tcPr>
        <w:shd w:val="clear" w:color="CFDBF0" w:fill="CFDBF0" w:themeFill="accent5" w:themeFillTint="40"/>
      </w:tcPr>
    </w:tblStylePr>
    <w:tblStylePr w:type="band2Horz">
      <w:rPr>
        <w:rFonts w:ascii="Arial" w:hAnsi="Arial"/>
        <w:color w:val="8DA9DB" w:themeColor="accent5" w:themeTint="9A" w:themeShade="95"/>
        <w:sz w:val="22"/>
      </w:rPr>
    </w:tblStylePr>
  </w:style>
  <w:style w:type="table" w:customStyle="1" w:styleId="ListTable7Colorful-Accent61">
    <w:name w:val="List Table 7 Colorful - Accent 61"/>
    <w:basedOn w:val="TableNormal"/>
    <w:uiPriority w:val="99"/>
    <w:pPr>
      <w:spacing w:after="0" w:line="240" w:lineRule="auto"/>
    </w:pPr>
    <w:tblPr>
      <w:tblStyleRowBandSize w:val="1"/>
      <w:tblStyleColBandSize w:val="1"/>
      <w:tblBorders>
        <w:right w:val="single" w:sz="4" w:space="0" w:color="A9D08E" w:themeColor="accent6" w:themeTint="98"/>
      </w:tblBorders>
    </w:tblPr>
    <w:tblStylePr w:type="firstRow">
      <w:rPr>
        <w:rFonts w:ascii="Arial" w:hAnsi="Arial"/>
        <w:i/>
        <w:color w:val="A9D08E" w:themeColor="accent6" w:themeTint="98" w:themeShade="95"/>
        <w:sz w:val="22"/>
      </w:rPr>
      <w:tblPr/>
      <w:tcPr>
        <w:tcBorders>
          <w:top w:val="none" w:sz="4" w:space="0" w:color="000000"/>
          <w:left w:val="none" w:sz="4" w:space="0" w:color="000000"/>
          <w:bottom w:val="single" w:sz="4" w:space="0" w:color="A9D08E" w:themeColor="accent6" w:themeTint="98"/>
          <w:right w:val="none" w:sz="4" w:space="0" w:color="000000"/>
        </w:tcBorders>
        <w:shd w:val="clear" w:color="FFFFFF" w:fill="FFFFFF" w:themeFill="light1"/>
      </w:tcPr>
    </w:tblStylePr>
    <w:tblStylePr w:type="lastRow">
      <w:rPr>
        <w:rFonts w:ascii="Arial" w:hAnsi="Arial"/>
        <w:i/>
        <w:color w:val="A9D08E" w:themeColor="accent6" w:themeTint="98" w:themeShade="95"/>
        <w:sz w:val="22"/>
      </w:rPr>
      <w:tblPr/>
      <w:tcPr>
        <w:tcBorders>
          <w:top w:val="single" w:sz="4" w:space="0" w:color="A9D08E" w:themeColor="accent6" w:themeTint="98"/>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A9D08E" w:themeColor="accent6" w:themeTint="98" w:themeShade="95"/>
        <w:sz w:val="22"/>
      </w:rPr>
      <w:tblPr/>
      <w:tcPr>
        <w:tcBorders>
          <w:top w:val="none" w:sz="4" w:space="0" w:color="000000"/>
          <w:left w:val="none" w:sz="4" w:space="0" w:color="000000"/>
          <w:bottom w:val="none" w:sz="4" w:space="0" w:color="000000"/>
          <w:right w:val="single" w:sz="4" w:space="0" w:color="A9D08E" w:themeColor="accent6" w:themeTint="98"/>
        </w:tcBorders>
        <w:shd w:val="clear" w:color="FFFFFF" w:fill="FFFFFF"/>
      </w:tcPr>
    </w:tblStylePr>
    <w:tblStylePr w:type="lastCol">
      <w:rPr>
        <w:rFonts w:ascii="Arial" w:hAnsi="Arial"/>
        <w:i/>
        <w:color w:val="A9D08E" w:themeColor="accent6" w:themeTint="98" w:themeShade="95"/>
        <w:sz w:val="22"/>
      </w:rPr>
      <w:tblPr/>
      <w:tcPr>
        <w:tcBorders>
          <w:top w:val="none" w:sz="4" w:space="0" w:color="000000"/>
          <w:left w:val="single" w:sz="4" w:space="0" w:color="A9D08E" w:themeColor="accent6" w:themeTint="98"/>
          <w:bottom w:val="none" w:sz="4" w:space="0" w:color="000000"/>
          <w:right w:val="none" w:sz="4" w:space="0" w:color="000000"/>
        </w:tcBorders>
        <w:shd w:val="clear" w:color="FFFFFF" w:fill="FFFFFF"/>
      </w:tcPr>
    </w:tblStylePr>
    <w:tblStylePr w:type="band1Vert">
      <w:tblPr/>
      <w:tcPr>
        <w:shd w:val="clear" w:color="DAEBCF" w:fill="DAEBCF" w:themeFill="accent6" w:themeFillTint="40"/>
      </w:tcPr>
    </w:tblStylePr>
    <w:tblStylePr w:type="band1Horz">
      <w:rPr>
        <w:rFonts w:ascii="Arial" w:hAnsi="Arial"/>
        <w:color w:val="A9D08E" w:themeColor="accent6" w:themeTint="98" w:themeShade="95"/>
        <w:sz w:val="22"/>
      </w:rPr>
      <w:tblPr/>
      <w:tcPr>
        <w:shd w:val="clear" w:color="DAEBCF" w:fill="DAEBCF" w:themeFill="accent6" w:themeFillTint="40"/>
      </w:tcPr>
    </w:tblStylePr>
    <w:tblStylePr w:type="band2Horz">
      <w:rPr>
        <w:rFonts w:ascii="Arial" w:hAnsi="Arial"/>
        <w:color w:val="A9D08E" w:themeColor="accent6" w:themeTint="98" w:themeShade="95"/>
        <w:sz w:val="22"/>
      </w:rPr>
    </w:tblStylePr>
  </w:style>
  <w:style w:type="character" w:customStyle="1" w:styleId="CaptionChar">
    <w:name w:val="Caption Char"/>
    <w:uiPriority w:val="99"/>
  </w:style>
  <w:style w:type="character" w:customStyle="1" w:styleId="Heading2Char">
    <w:name w:val="Heading 2 Char"/>
    <w:basedOn w:val="DefaultParagraphFont"/>
    <w:link w:val="Heading2"/>
    <w:uiPriority w:val="9"/>
    <w:rPr>
      <w:rFonts w:ascii="Arial" w:eastAsia="Arial" w:hAnsi="Arial" w:cs="Arial"/>
      <w:sz w:val="34"/>
    </w:rPr>
  </w:style>
  <w:style w:type="character" w:customStyle="1" w:styleId="Heading3Char">
    <w:name w:val="Heading 3 Char"/>
    <w:basedOn w:val="DefaultParagraphFont"/>
    <w:link w:val="Heading3"/>
    <w:uiPriority w:val="9"/>
    <w:rPr>
      <w:rFonts w:ascii="Arial" w:eastAsia="Arial" w:hAnsi="Arial" w:cs="Arial"/>
      <w:sz w:val="30"/>
      <w:szCs w:val="30"/>
    </w:rPr>
  </w:style>
  <w:style w:type="character" w:customStyle="1" w:styleId="Heading4Char">
    <w:name w:val="Heading 4 Char"/>
    <w:basedOn w:val="DefaultParagraphFont"/>
    <w:link w:val="Heading4"/>
    <w:uiPriority w:val="9"/>
    <w:rPr>
      <w:rFonts w:ascii="Arial" w:eastAsia="Arial" w:hAnsi="Arial" w:cs="Arial"/>
      <w:b/>
      <w:bCs/>
      <w:sz w:val="26"/>
      <w:szCs w:val="26"/>
    </w:rPr>
  </w:style>
  <w:style w:type="character" w:customStyle="1" w:styleId="Heading5Char">
    <w:name w:val="Heading 5 Char"/>
    <w:basedOn w:val="DefaultParagraphFont"/>
    <w:link w:val="Heading5"/>
    <w:uiPriority w:val="9"/>
    <w:rPr>
      <w:rFonts w:ascii="Arial" w:eastAsia="Arial" w:hAnsi="Arial" w:cs="Arial"/>
      <w:b/>
      <w:bCs/>
      <w:sz w:val="24"/>
      <w:szCs w:val="24"/>
    </w:rPr>
  </w:style>
  <w:style w:type="character" w:customStyle="1" w:styleId="Heading6Char">
    <w:name w:val="Heading 6 Char"/>
    <w:basedOn w:val="DefaultParagraphFont"/>
    <w:link w:val="Heading6"/>
    <w:uiPriority w:val="9"/>
    <w:rPr>
      <w:rFonts w:ascii="Arial" w:eastAsia="Arial" w:hAnsi="Arial" w:cs="Arial"/>
      <w:b/>
      <w:bCs/>
      <w:sz w:val="22"/>
      <w:szCs w:val="22"/>
    </w:rPr>
  </w:style>
  <w:style w:type="character" w:customStyle="1" w:styleId="Heading7Char">
    <w:name w:val="Heading 7 Char"/>
    <w:basedOn w:val="DefaultParagraphFont"/>
    <w:link w:val="Heading7"/>
    <w:uiPriority w:val="9"/>
    <w:rPr>
      <w:rFonts w:ascii="Arial" w:eastAsia="Arial" w:hAnsi="Arial" w:cs="Arial"/>
      <w:b/>
      <w:bCs/>
      <w:i/>
      <w:iCs/>
      <w:sz w:val="22"/>
      <w:szCs w:val="22"/>
    </w:rPr>
  </w:style>
  <w:style w:type="character" w:customStyle="1" w:styleId="Heading8Char">
    <w:name w:val="Heading 8 Char"/>
    <w:basedOn w:val="DefaultParagraphFont"/>
    <w:link w:val="Heading8"/>
    <w:uiPriority w:val="9"/>
    <w:rPr>
      <w:rFonts w:ascii="Arial" w:eastAsia="Arial" w:hAnsi="Arial" w:cs="Arial"/>
      <w:i/>
      <w:iCs/>
      <w:sz w:val="22"/>
      <w:szCs w:val="22"/>
    </w:rPr>
  </w:style>
  <w:style w:type="character" w:customStyle="1" w:styleId="Heading9Char">
    <w:name w:val="Heading 9 Char"/>
    <w:basedOn w:val="DefaultParagraphFont"/>
    <w:link w:val="Heading9"/>
    <w:uiPriority w:val="9"/>
    <w:rPr>
      <w:rFonts w:ascii="Arial" w:eastAsia="Arial" w:hAnsi="Arial" w:cs="Arial"/>
      <w:i/>
      <w:iCs/>
      <w:sz w:val="21"/>
      <w:szCs w:val="21"/>
    </w:rPr>
  </w:style>
  <w:style w:type="paragraph" w:styleId="ListParagraph">
    <w:name w:val="List Paragraph"/>
    <w:basedOn w:val="Normal"/>
    <w:uiPriority w:val="34"/>
    <w:qFormat/>
    <w:pPr>
      <w:ind w:left="720"/>
      <w:contextualSpacing/>
    </w:pPr>
  </w:style>
  <w:style w:type="paragraph" w:styleId="NoSpacing">
    <w:name w:val="No Spacing"/>
    <w:uiPriority w:val="1"/>
    <w:qFormat/>
    <w:pPr>
      <w:spacing w:after="0" w:line="240" w:lineRule="auto"/>
    </w:pPr>
  </w:style>
  <w:style w:type="paragraph" w:styleId="Title">
    <w:name w:val="Title"/>
    <w:basedOn w:val="Normal"/>
    <w:next w:val="Normal"/>
    <w:link w:val="TitleChar"/>
    <w:uiPriority w:val="10"/>
    <w:qFormat/>
    <w:pPr>
      <w:spacing w:before="300" w:after="200"/>
      <w:contextualSpacing/>
    </w:pPr>
    <w:rPr>
      <w:sz w:val="48"/>
      <w:szCs w:val="48"/>
    </w:rPr>
  </w:style>
  <w:style w:type="character" w:customStyle="1" w:styleId="TitleChar">
    <w:name w:val="Title Char"/>
    <w:basedOn w:val="DefaultParagraphFont"/>
    <w:link w:val="Title"/>
    <w:uiPriority w:val="10"/>
    <w:rPr>
      <w:sz w:val="48"/>
      <w:szCs w:val="48"/>
    </w:rPr>
  </w:style>
  <w:style w:type="paragraph" w:styleId="Subtitle">
    <w:name w:val="Subtitle"/>
    <w:basedOn w:val="Normal"/>
    <w:next w:val="Normal"/>
    <w:link w:val="SubtitleChar"/>
    <w:uiPriority w:val="11"/>
    <w:qFormat/>
    <w:pPr>
      <w:spacing w:before="200" w:after="200"/>
    </w:pPr>
    <w:rPr>
      <w:sz w:val="24"/>
      <w:szCs w:val="24"/>
    </w:rPr>
  </w:style>
  <w:style w:type="character" w:customStyle="1" w:styleId="SubtitleChar">
    <w:name w:val="Subtitle Char"/>
    <w:basedOn w:val="DefaultParagraphFont"/>
    <w:link w:val="Subtitle"/>
    <w:uiPriority w:val="11"/>
    <w:rPr>
      <w:sz w:val="24"/>
      <w:szCs w:val="24"/>
    </w:rPr>
  </w:style>
  <w:style w:type="paragraph" w:styleId="Quote">
    <w:name w:val="Quote"/>
    <w:basedOn w:val="Normal"/>
    <w:next w:val="Normal"/>
    <w:link w:val="QuoteChar"/>
    <w:uiPriority w:val="29"/>
    <w:qFormat/>
    <w:pPr>
      <w:ind w:left="720" w:right="720"/>
    </w:pPr>
    <w:rPr>
      <w:i/>
    </w:rPr>
  </w:style>
  <w:style w:type="character" w:customStyle="1" w:styleId="QuoteChar">
    <w:name w:val="Quote Char"/>
    <w:link w:val="Quote"/>
    <w:uiPriority w:val="29"/>
    <w:rPr>
      <w:i/>
    </w:rPr>
  </w:style>
  <w:style w:type="paragraph" w:styleId="IntenseQuote">
    <w:name w:val="Intense Quote"/>
    <w:basedOn w:val="Normal"/>
    <w:next w:val="Normal"/>
    <w:link w:val="IntenseQuoteChar"/>
    <w:uiPriority w:val="30"/>
    <w:qFormat/>
    <w:pPr>
      <w:pBdr>
        <w:top w:val="single" w:sz="4" w:space="5" w:color="FFFFFF"/>
        <w:left w:val="single" w:sz="4" w:space="10" w:color="FFFFFF"/>
        <w:bottom w:val="single" w:sz="4" w:space="5" w:color="FFFFFF"/>
        <w:right w:val="single" w:sz="4" w:space="10" w:color="FFFFFF"/>
      </w:pBdr>
      <w:shd w:val="clear" w:color="F2F2F2" w:fill="F2F2F2"/>
      <w:ind w:left="720" w:right="720"/>
    </w:pPr>
    <w:rPr>
      <w:i/>
    </w:rPr>
  </w:style>
  <w:style w:type="character" w:customStyle="1" w:styleId="IntenseQuoteChar">
    <w:name w:val="Intense Quote Char"/>
    <w:link w:val="IntenseQuote"/>
    <w:uiPriority w:val="30"/>
    <w:rPr>
      <w:i/>
    </w:rPr>
  </w:style>
  <w:style w:type="paragraph" w:styleId="Header">
    <w:name w:val="header"/>
    <w:basedOn w:val="Normal"/>
    <w:link w:val="HeaderChar"/>
    <w:uiPriority w:val="99"/>
    <w:unhideWhenUsed/>
    <w:pPr>
      <w:tabs>
        <w:tab w:val="center" w:pos="7143"/>
        <w:tab w:val="right" w:pos="14287"/>
      </w:tabs>
      <w:spacing w:after="0" w:line="240" w:lineRule="auto"/>
    </w:pPr>
  </w:style>
  <w:style w:type="character" w:customStyle="1" w:styleId="HeaderChar">
    <w:name w:val="Header Char"/>
    <w:basedOn w:val="DefaultParagraphFont"/>
    <w:link w:val="Header"/>
    <w:uiPriority w:val="99"/>
  </w:style>
  <w:style w:type="paragraph" w:styleId="Footer">
    <w:name w:val="footer"/>
    <w:basedOn w:val="Normal"/>
    <w:link w:val="FooterChar1"/>
    <w:uiPriority w:val="99"/>
    <w:unhideWhenUsed/>
    <w:pPr>
      <w:tabs>
        <w:tab w:val="center" w:pos="7143"/>
        <w:tab w:val="right" w:pos="14287"/>
      </w:tabs>
      <w:spacing w:after="0" w:line="240" w:lineRule="auto"/>
    </w:pPr>
  </w:style>
  <w:style w:type="character" w:customStyle="1" w:styleId="FooterChar">
    <w:name w:val="Footer Char"/>
    <w:basedOn w:val="DefaultParagraphFont"/>
    <w:uiPriority w:val="99"/>
  </w:style>
  <w:style w:type="character" w:customStyle="1" w:styleId="FooterChar1">
    <w:name w:val="Footer Char1"/>
    <w:link w:val="Footer"/>
    <w:uiPriority w:val="99"/>
  </w:style>
  <w:style w:type="table" w:styleId="PlainTable2">
    <w:name w:val="Plain Table 2"/>
    <w:basedOn w:val="TableNormal"/>
    <w:uiPriority w:val="59"/>
    <w:pPr>
      <w:spacing w:after="0" w:line="240" w:lineRule="auto"/>
    </w:pPr>
    <w:tblPr>
      <w:tblBorders>
        <w:top w:val="single" w:sz="4" w:space="0" w:color="000000" w:themeColor="text1"/>
        <w:left w:val="none" w:sz="4" w:space="0" w:color="000000" w:themeColor="text1"/>
        <w:bottom w:val="single" w:sz="4" w:space="0" w:color="000000" w:themeColor="text1"/>
        <w:right w:val="none" w:sz="4" w:space="0" w:color="000000" w:themeColor="text1"/>
      </w:tblBorders>
    </w:tblPr>
    <w:tblStylePr w:type="firstRow">
      <w:rPr>
        <w:rFonts w:ascii="Arial" w:hAnsi="Arial"/>
        <w:b/>
        <w:color w:val="404040"/>
        <w:sz w:val="22"/>
      </w:rPr>
      <w:tblPr/>
      <w:tcPr>
        <w:tcBorders>
          <w:top w:val="single" w:sz="4" w:space="0" w:color="000000" w:themeColor="text1"/>
          <w:bottom w:val="single" w:sz="4" w:space="0" w:color="000000" w:themeColor="text1"/>
        </w:tcBorders>
      </w:tcPr>
    </w:tblStylePr>
    <w:tblStylePr w:type="lastRow">
      <w:rPr>
        <w:rFonts w:ascii="Arial" w:hAnsi="Arial"/>
        <w:b/>
        <w:color w:val="404040"/>
        <w:sz w:val="22"/>
      </w:rPr>
    </w:tblStylePr>
    <w:tblStylePr w:type="firstCol">
      <w:rPr>
        <w:rFonts w:ascii="Arial" w:hAnsi="Arial"/>
        <w:b/>
        <w:color w:val="404040"/>
        <w:sz w:val="22"/>
      </w:rPr>
    </w:tblStylePr>
    <w:tblStylePr w:type="lastCol">
      <w:rPr>
        <w:rFonts w:ascii="Arial" w:hAnsi="Arial"/>
        <w:b/>
        <w:color w:val="404040"/>
        <w:sz w:val="22"/>
      </w:rPr>
    </w:tblStylePr>
    <w:tblStylePr w:type="band1Vert">
      <w:tblPr/>
      <w:tcPr>
        <w:tcBorders>
          <w:left w:val="single" w:sz="4" w:space="0" w:color="000000" w:themeColor="text1"/>
          <w:right w:val="single" w:sz="4" w:space="0" w:color="000000" w:themeColor="text1"/>
        </w:tcBorders>
      </w:tcPr>
    </w:tblStylePr>
    <w:tblStylePr w:type="band2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tcBorders>
      </w:tcPr>
    </w:tblStylePr>
  </w:style>
  <w:style w:type="table" w:styleId="PlainTable3">
    <w:name w:val="Plain Table 3"/>
    <w:basedOn w:val="TableNormal"/>
    <w:uiPriority w:val="99"/>
    <w:pPr>
      <w:spacing w:after="0" w:line="240" w:lineRule="auto"/>
    </w:pPr>
    <w:tblPr>
      <w:tblStyleRowBandSize w:val="1"/>
      <w:tblStyleColBandSize w:val="1"/>
    </w:tblPr>
    <w:tblStylePr w:type="firstRow">
      <w:rPr>
        <w:b/>
        <w:caps/>
        <w:color w:val="404040"/>
      </w:rPr>
      <w:tblPr/>
      <w:tcPr>
        <w:tcBorders>
          <w:top w:val="none" w:sz="4" w:space="0" w:color="000000"/>
          <w:left w:val="none" w:sz="4" w:space="0" w:color="000000"/>
          <w:bottom w:val="single" w:sz="4" w:space="0" w:color="404040"/>
          <w:right w:val="none" w:sz="4" w:space="0" w:color="000000"/>
        </w:tcBorders>
      </w:tcPr>
    </w:tblStylePr>
    <w:tblStylePr w:type="lastRow">
      <w:rPr>
        <w:b/>
        <w:caps/>
        <w:color w:val="404040"/>
      </w:rPr>
    </w:tblStylePr>
    <w:tblStylePr w:type="firstCol">
      <w:rPr>
        <w:b/>
        <w:caps/>
        <w:color w:val="404040"/>
      </w:rPr>
      <w:tblPr/>
      <w:tcPr>
        <w:tcBorders>
          <w:top w:val="none" w:sz="4" w:space="0" w:color="000000"/>
          <w:left w:val="none" w:sz="4" w:space="0" w:color="000000"/>
          <w:bottom w:val="none" w:sz="4" w:space="0" w:color="000000"/>
          <w:right w:val="single" w:sz="4" w:space="0" w:color="404040"/>
        </w:tcBorders>
      </w:tcPr>
    </w:tblStylePr>
    <w:tblStylePr w:type="lastCol">
      <w:rPr>
        <w:b/>
        <w:caps/>
        <w:color w:val="404040"/>
      </w:rPr>
    </w:tblStylePr>
    <w:tblStylePr w:type="band1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Pr/>
      <w:tcPr>
        <w:shd w:val="clear" w:color="F2F2F2" w:fill="F2F2F2" w:themeFill="text1" w:themeFillTint="0D"/>
      </w:tcPr>
    </w:tblStylePr>
  </w:style>
  <w:style w:type="table" w:styleId="PlainTable4">
    <w:name w:val="Plain Table 4"/>
    <w:basedOn w:val="TableNormal"/>
    <w:uiPriority w:val="99"/>
    <w:pPr>
      <w:spacing w:after="0" w:line="240" w:lineRule="auto"/>
    </w:pPr>
    <w:tblPr>
      <w:tblStyleRowBandSize w:val="1"/>
      <w:tblStyleColBandSize w:val="1"/>
    </w:tblPr>
    <w:tblStylePr w:type="firstRow">
      <w:rPr>
        <w:b/>
        <w:color w:val="404040"/>
      </w:r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Pr/>
      <w:tcPr>
        <w:shd w:val="clear" w:color="F2F2F2" w:fill="F2F2F2" w:themeFill="text1" w:themeFillTint="0D"/>
      </w:tcPr>
    </w:tblStylePr>
  </w:style>
  <w:style w:type="table" w:styleId="PlainTable5">
    <w:name w:val="Plain Table 5"/>
    <w:basedOn w:val="TableNormal"/>
    <w:uiPriority w:val="99"/>
    <w:pPr>
      <w:spacing w:after="0" w:line="240" w:lineRule="auto"/>
    </w:pPr>
    <w:tblPr>
      <w:tblStyleRowBandSize w:val="1"/>
      <w:tblStyleColBandSize w:val="1"/>
    </w:tblPr>
    <w:tblStylePr w:type="firstRow">
      <w:rPr>
        <w:i/>
        <w:color w:val="404040"/>
      </w:rPr>
      <w:tblPr/>
      <w:tcPr>
        <w:tcBorders>
          <w:left w:val="none" w:sz="4" w:space="0" w:color="000000"/>
          <w:bottom w:val="single" w:sz="4" w:space="0" w:color="404040"/>
          <w:right w:val="none" w:sz="4" w:space="0" w:color="000000"/>
        </w:tcBorders>
        <w:shd w:val="clear" w:color="FFFFFF" w:fill="FFFFFF"/>
      </w:tcPr>
    </w:tblStylePr>
    <w:tblStylePr w:type="lastRow">
      <w:rPr>
        <w:i/>
        <w:color w:val="404040"/>
      </w:rPr>
      <w:tblPr/>
      <w:tcPr>
        <w:tcBorders>
          <w:top w:val="single" w:sz="4" w:space="0" w:color="404040"/>
          <w:left w:val="none" w:sz="4" w:space="0" w:color="000000"/>
          <w:right w:val="none" w:sz="4" w:space="0" w:color="000000"/>
        </w:tcBorders>
        <w:shd w:val="clear" w:color="FFFFFF" w:fill="FFFFFF"/>
      </w:tcPr>
    </w:tblStylePr>
    <w:tblStylePr w:type="firstCol">
      <w:pPr>
        <w:jc w:val="right"/>
      </w:pPr>
      <w:rPr>
        <w:i/>
        <w:color w:val="404040"/>
      </w:rPr>
      <w:tblPr/>
      <w:tcPr>
        <w:tcBorders>
          <w:right w:val="single" w:sz="4" w:space="0" w:color="404040"/>
        </w:tcBorders>
        <w:shd w:val="clear" w:color="FFFFFF" w:fill="FFFFFF"/>
      </w:tcPr>
    </w:tblStylePr>
    <w:tblStylePr w:type="lastCol">
      <w:rPr>
        <w:i/>
        <w:color w:val="404040"/>
      </w:rPr>
      <w:tblPr/>
      <w:tcPr>
        <w:tcBorders>
          <w:left w:val="single" w:sz="4" w:space="0" w:color="404040"/>
        </w:tcBorders>
        <w:shd w:val="clear" w:color="FFFFFF" w:fill="FFFFFF"/>
      </w:tcPr>
    </w:tblStylePr>
    <w:tblStylePr w:type="band1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Pr/>
      <w:tcPr>
        <w:shd w:val="clear" w:color="F2F2F2" w:fill="F2F2F2" w:themeFill="text1" w:themeFillTint="0D"/>
      </w:tcPr>
    </w:tblStylePr>
  </w:style>
  <w:style w:type="table" w:styleId="GridTable1Light">
    <w:name w:val="Grid Table 1 Light"/>
    <w:basedOn w:val="TableNormal"/>
    <w:uiPriority w:val="99"/>
    <w:pPr>
      <w:spacing w:after="0" w:line="240" w:lineRule="auto"/>
    </w:pPr>
    <w:tblPr>
      <w:tblStyleRowBandSize w:val="1"/>
      <w:tblStyleColBandSize w:val="1"/>
      <w:tbl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insideH w:val="single" w:sz="4" w:space="0" w:color="989898" w:themeColor="text1" w:themeTint="67"/>
        <w:insideV w:val="single" w:sz="4" w:space="0" w:color="989898" w:themeColor="text1" w:themeTint="67"/>
      </w:tblBorders>
    </w:tblPr>
    <w:tblStylePr w:type="firstRow">
      <w:rPr>
        <w:b/>
        <w:color w:val="404040"/>
      </w:rPr>
      <w:tblPr/>
      <w:tcPr>
        <w:tcBorders>
          <w:bottom w:val="single" w:sz="12" w:space="0" w:color="6A6A6A" w:themeColor="text1" w:themeTint="95"/>
        </w:tcBorders>
      </w:tcPr>
    </w:tblStylePr>
    <w:tblStylePr w:type="lastRow">
      <w:rPr>
        <w:b/>
        <w:color w:val="404040"/>
      </w:rPr>
    </w:tblStylePr>
    <w:tblStylePr w:type="firstCol">
      <w:rPr>
        <w:b/>
        <w:color w:val="404040"/>
      </w:rPr>
    </w:tblStylePr>
    <w:tblStylePr w:type="lastCol">
      <w:rPr>
        <w:b/>
        <w:color w:val="404040"/>
      </w:rPr>
    </w:tblStylePr>
    <w:tblStylePr w:type="band1Horz">
      <w:rPr>
        <w:rFonts w:ascii="Arial" w:hAnsi="Arial"/>
        <w:color w:val="404040"/>
        <w:sz w:val="22"/>
      </w:rPr>
      <w:tblPr/>
      <w:tcPr>
        <w:tcBorders>
          <w:top w:val="single" w:sz="4" w:space="0" w:color="989898" w:themeColor="text1" w:themeTint="67"/>
          <w:left w:val="single" w:sz="4" w:space="0" w:color="989898" w:themeColor="text1" w:themeTint="67"/>
          <w:bottom w:val="single" w:sz="4" w:space="0" w:color="989898" w:themeColor="text1" w:themeTint="67"/>
          <w:right w:val="single" w:sz="4" w:space="0" w:color="989898" w:themeColor="text1" w:themeTint="67"/>
        </w:tcBorders>
      </w:tcPr>
    </w:tblStylePr>
  </w:style>
  <w:style w:type="table" w:styleId="GridTable2">
    <w:name w:val="Grid Table 2"/>
    <w:basedOn w:val="Table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single" w:sz="12" w:space="0" w:color="6A6A6A" w:themeColor="text1" w:themeTint="95"/>
          <w:right w:val="none" w:sz="4" w:space="0" w:color="000000"/>
        </w:tcBorders>
        <w:shd w:val="clear" w:color="FFFFFF" w:fill="FFFFFF"/>
      </w:tcPr>
    </w:tblStylePr>
    <w:tblStylePr w:type="lastRow">
      <w:rPr>
        <w:b/>
        <w:color w:val="404040"/>
      </w:rPr>
      <w:tblPr/>
      <w:tcPr>
        <w:tcBorders>
          <w:top w:val="single" w:sz="4" w:space="0" w:color="6A6A6A" w:themeColor="text1" w:themeTint="95"/>
          <w:left w:val="none" w:sz="4" w:space="0" w:color="000000"/>
          <w:bottom w:val="none" w:sz="4" w:space="0" w:color="000000"/>
          <w:right w:val="none" w:sz="4" w:space="0" w:color="000000"/>
        </w:tcBorders>
        <w:shd w:val="clear" w:color="FFFFFF" w:fill="FFFFFF"/>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fill="CBCBCB" w:themeFill="text1" w:themeFillTint="34"/>
      </w:tcPr>
    </w:tblStylePr>
    <w:tblStylePr w:type="band1Horz">
      <w:rPr>
        <w:rFonts w:ascii="Arial" w:hAnsi="Arial"/>
        <w:color w:val="404040"/>
        <w:sz w:val="22"/>
      </w:rPr>
      <w:tblPr/>
      <w:tcPr>
        <w:shd w:val="clear" w:color="CBCBCB" w:fill="CBCBCB" w:themeFill="text1" w:themeFillTint="34"/>
      </w:tcPr>
    </w:tblStylePr>
  </w:style>
  <w:style w:type="table" w:styleId="GridTable3">
    <w:name w:val="Grid Table 3"/>
    <w:basedOn w:val="TableNormal"/>
    <w:uiPriority w:val="99"/>
    <w:pPr>
      <w:spacing w:after="0" w:line="240" w:lineRule="auto"/>
    </w:pPr>
    <w:tblPr>
      <w:tblStyleRowBandSize w:val="1"/>
      <w:tblStyleColBandSize w:val="1"/>
      <w:tblBorders>
        <w:bottom w:val="single" w:sz="4" w:space="0" w:color="6A6A6A" w:themeColor="text1" w:themeTint="95"/>
        <w:insideH w:val="single" w:sz="4" w:space="0" w:color="6A6A6A" w:themeColor="text1" w:themeTint="95"/>
        <w:insideV w:val="single" w:sz="4" w:space="0" w:color="6A6A6A" w:themeColor="text1" w:themeTint="95"/>
      </w:tblBorders>
    </w:tblPr>
    <w:tblStylePr w:type="fir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Row">
      <w:rPr>
        <w:b/>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firstCol">
      <w:pPr>
        <w:jc w:val="right"/>
      </w:pPr>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lastCol">
      <w:rPr>
        <w:i/>
        <w:color w:val="404040"/>
      </w:rPr>
      <w:tblPr/>
      <w:tcPr>
        <w:tcBorders>
          <w:top w:val="none" w:sz="4" w:space="0" w:color="000000"/>
          <w:left w:val="none" w:sz="4" w:space="0" w:color="000000"/>
          <w:bottom w:val="none" w:sz="4" w:space="0" w:color="000000"/>
          <w:right w:val="none" w:sz="4" w:space="0" w:color="000000"/>
        </w:tcBorders>
        <w:shd w:val="clear" w:color="FFFFFF" w:fill="FFFFFF"/>
      </w:tcPr>
    </w:tblStylePr>
    <w:tblStylePr w:type="band1Vert">
      <w:rPr>
        <w:rFonts w:ascii="Arial" w:hAnsi="Arial"/>
        <w:color w:val="404040"/>
        <w:sz w:val="22"/>
      </w:rPr>
      <w:tblPr/>
      <w:tcPr>
        <w:shd w:val="clear" w:color="CBCBCB" w:fill="CBCBCB" w:themeFill="text1" w:themeFillTint="34"/>
      </w:tcPr>
    </w:tblStylePr>
    <w:tblStylePr w:type="band1Horz">
      <w:rPr>
        <w:rFonts w:ascii="Arial" w:hAnsi="Arial"/>
        <w:color w:val="404040"/>
        <w:sz w:val="22"/>
      </w:rPr>
      <w:tblPr/>
      <w:tcPr>
        <w:shd w:val="clear" w:color="CBCBCB" w:fill="CBCBCB" w:themeFill="text1" w:themeFillTint="34"/>
      </w:tcPr>
    </w:tblStylePr>
  </w:style>
  <w:style w:type="table" w:styleId="GridTable4">
    <w:name w:val="Grid Table 4"/>
    <w:basedOn w:val="TableNormal"/>
    <w:uiPriority w:val="59"/>
    <w:pPr>
      <w:spacing w:after="0" w:line="240" w:lineRule="auto"/>
    </w:pPr>
    <w:tblPr>
      <w:tblStyleRowBandSize w:val="1"/>
      <w:tblStyleColBandSize w:val="1"/>
      <w:tblBorders>
        <w:top w:val="single" w:sz="4" w:space="0" w:color="6F6F6F" w:themeColor="text1" w:themeTint="90"/>
        <w:left w:val="single" w:sz="4" w:space="0" w:color="6F6F6F" w:themeColor="text1" w:themeTint="90"/>
        <w:bottom w:val="single" w:sz="4" w:space="0" w:color="6F6F6F" w:themeColor="text1" w:themeTint="90"/>
        <w:right w:val="single" w:sz="4" w:space="0" w:color="6F6F6F" w:themeColor="text1" w:themeTint="90"/>
        <w:insideH w:val="single" w:sz="4" w:space="0" w:color="6F6F6F" w:themeColor="text1" w:themeTint="90"/>
        <w:insideV w:val="single" w:sz="4" w:space="0" w:color="6F6F6F" w:themeColor="text1" w:themeTint="90"/>
      </w:tblBorders>
    </w:tblPr>
    <w:tblStylePr w:type="firstRow">
      <w:rPr>
        <w:rFonts w:ascii="Arial" w:hAnsi="Arial"/>
        <w:b/>
        <w:color w:val="FFFFFF"/>
        <w:sz w:val="22"/>
      </w:rPr>
      <w:tblPr/>
      <w:tcPr>
        <w:tcBorders>
          <w:top w:val="single" w:sz="4" w:space="0" w:color="000000" w:themeColor="text1"/>
          <w:left w:val="single" w:sz="4" w:space="0" w:color="000000" w:themeColor="text1"/>
          <w:bottom w:val="single" w:sz="4" w:space="0" w:color="000000" w:themeColor="text1"/>
          <w:right w:val="single" w:sz="4" w:space="0" w:color="000000" w:themeColor="text1"/>
        </w:tcBorders>
        <w:shd w:val="clear" w:color="000000" w:fill="000000" w:themeFill="text1"/>
      </w:tcPr>
    </w:tblStylePr>
    <w:tblStylePr w:type="lastRow">
      <w:rPr>
        <w:b/>
        <w:color w:val="404040"/>
      </w:rPr>
      <w:tblPr/>
      <w:tcPr>
        <w:tcBorders>
          <w:top w:val="single" w:sz="4" w:space="0" w:color="000000" w:themeColor="text1"/>
        </w:tcBorders>
      </w:tc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CBCBCB" w:fill="CBCBCB" w:themeFill="text1" w:themeFillTint="34"/>
      </w:tcPr>
    </w:tblStylePr>
    <w:tblStylePr w:type="band1Horz">
      <w:rPr>
        <w:rFonts w:ascii="Arial" w:hAnsi="Arial"/>
        <w:color w:val="404040"/>
        <w:sz w:val="22"/>
      </w:rPr>
      <w:tblPr/>
      <w:tcPr>
        <w:shd w:val="clear" w:color="CBCBCB" w:fill="CBCBCB" w:themeFill="text1" w:themeFillTint="34"/>
      </w:tcPr>
    </w:tblStylePr>
  </w:style>
  <w:style w:type="table" w:styleId="GridTable5Dark">
    <w:name w:val="Grid Table 5 Dark"/>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BFBFBF" w:fill="BFBFBF" w:themeFill="text1" w:themeFillTint="40"/>
    </w:tblPr>
    <w:tblStylePr w:type="firstRow">
      <w:rPr>
        <w:rFonts w:ascii="Arial" w:hAnsi="Arial"/>
        <w:b/>
        <w:color w:val="FFFFFF"/>
        <w:sz w:val="22"/>
      </w:rPr>
      <w:tblPr/>
      <w:tcPr>
        <w:shd w:val="clear" w:color="000000" w:fill="000000" w:themeFill="text1"/>
      </w:tcPr>
    </w:tblStylePr>
    <w:tblStylePr w:type="lastRow">
      <w:rPr>
        <w:rFonts w:ascii="Arial" w:hAnsi="Arial"/>
        <w:b/>
        <w:color w:val="FFFFFF"/>
        <w:sz w:val="22"/>
      </w:rPr>
      <w:tblPr/>
      <w:tcPr>
        <w:tcBorders>
          <w:top w:val="single" w:sz="4" w:space="0" w:color="FFFFFF" w:themeColor="light1"/>
        </w:tcBorders>
        <w:shd w:val="clear" w:color="000000" w:fill="000000" w:themeFill="text1"/>
      </w:tcPr>
    </w:tblStylePr>
    <w:tblStylePr w:type="firstCol">
      <w:rPr>
        <w:rFonts w:ascii="Arial" w:hAnsi="Arial"/>
        <w:b/>
        <w:color w:val="FFFFFF"/>
        <w:sz w:val="22"/>
      </w:rPr>
      <w:tblPr/>
      <w:tcPr>
        <w:shd w:val="clear" w:color="000000" w:fill="000000" w:themeFill="text1"/>
      </w:tcPr>
    </w:tblStylePr>
    <w:tblStylePr w:type="lastCol">
      <w:rPr>
        <w:rFonts w:ascii="Arial" w:hAnsi="Arial"/>
        <w:b/>
        <w:color w:val="FFFFFF"/>
        <w:sz w:val="22"/>
      </w:rPr>
      <w:tblPr/>
      <w:tcPr>
        <w:shd w:val="clear" w:color="000000" w:fill="000000" w:themeFill="text1"/>
      </w:tcPr>
    </w:tblStylePr>
    <w:tblStylePr w:type="band1Vert">
      <w:tblPr/>
      <w:tcPr>
        <w:shd w:val="clear" w:color="8A8A8A" w:fill="8A8A8A" w:themeFill="text1" w:themeFillTint="75"/>
      </w:tcPr>
    </w:tblStylePr>
    <w:tblStylePr w:type="band1Horz">
      <w:tblPr/>
      <w:tcPr>
        <w:shd w:val="clear" w:color="8A8A8A" w:fill="8A8A8A" w:themeFill="text1" w:themeFillTint="75"/>
      </w:tcPr>
    </w:tblStylePr>
  </w:style>
  <w:style w:type="table" w:customStyle="1" w:styleId="GridTable5Dark-Accent1">
    <w:name w:val="Grid Table 5 Dark- Accent 1"/>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DDEAF6" w:fill="DDEAF6" w:themeFill="accent1" w:themeFillTint="34"/>
    </w:tblPr>
    <w:tblStylePr w:type="firstRow">
      <w:rPr>
        <w:rFonts w:ascii="Arial" w:hAnsi="Arial"/>
        <w:b/>
        <w:color w:val="FFFFFF"/>
        <w:sz w:val="22"/>
      </w:rPr>
      <w:tblPr/>
      <w:tcPr>
        <w:shd w:val="clear" w:color="5B9BD5" w:fill="5B9BD5" w:themeFill="accent1"/>
      </w:tcPr>
    </w:tblStylePr>
    <w:tblStylePr w:type="lastRow">
      <w:rPr>
        <w:rFonts w:ascii="Arial" w:hAnsi="Arial"/>
        <w:b/>
        <w:color w:val="FFFFFF"/>
        <w:sz w:val="22"/>
      </w:rPr>
      <w:tblPr/>
      <w:tcPr>
        <w:tcBorders>
          <w:top w:val="single" w:sz="4" w:space="0" w:color="FFFFFF" w:themeColor="light1"/>
        </w:tcBorders>
        <w:shd w:val="clear" w:color="5B9BD5" w:fill="5B9BD5" w:themeFill="accent1"/>
      </w:tcPr>
    </w:tblStylePr>
    <w:tblStylePr w:type="firstCol">
      <w:rPr>
        <w:rFonts w:ascii="Arial" w:hAnsi="Arial"/>
        <w:b/>
        <w:color w:val="FFFFFF"/>
        <w:sz w:val="22"/>
      </w:rPr>
      <w:tblPr/>
      <w:tcPr>
        <w:shd w:val="clear" w:color="5B9BD5" w:fill="5B9BD5" w:themeFill="accent1"/>
      </w:tcPr>
    </w:tblStylePr>
    <w:tblStylePr w:type="lastCol">
      <w:rPr>
        <w:rFonts w:ascii="Arial" w:hAnsi="Arial"/>
        <w:b/>
        <w:color w:val="FFFFFF"/>
        <w:sz w:val="22"/>
      </w:rPr>
      <w:tblPr/>
      <w:tcPr>
        <w:shd w:val="clear" w:color="5B9BD5" w:fill="5B9BD5" w:themeFill="accent1"/>
      </w:tcPr>
    </w:tblStylePr>
    <w:tblStylePr w:type="band1Vert">
      <w:tblPr/>
      <w:tcPr>
        <w:shd w:val="clear" w:color="B3D0EB" w:fill="B3D0EB" w:themeFill="accent1" w:themeFillTint="75"/>
      </w:tcPr>
    </w:tblStylePr>
    <w:tblStylePr w:type="band1Horz">
      <w:tblPr/>
      <w:tcPr>
        <w:shd w:val="clear" w:color="B3D0EB" w:fill="B3D0EB" w:themeFill="accent1" w:themeFillTint="75"/>
      </w:tcPr>
    </w:tblStylePr>
  </w:style>
  <w:style w:type="table" w:customStyle="1" w:styleId="GridTable5Dark-Accent4">
    <w:name w:val="Grid Table 5 Dark- Accent 4"/>
    <w:basedOn w:val="TableNormal"/>
    <w:uiPriority w:val="99"/>
    <w:pPr>
      <w:spacing w:after="0" w:line="240" w:lineRule="auto"/>
    </w:pPr>
    <w:tblPr>
      <w:tblStyleRowBandSize w:val="1"/>
      <w:tblStyleColBandSize w:val="1"/>
      <w:tblBorders>
        <w:top w:val="single" w:sz="4" w:space="0" w:color="FFFFFF" w:themeColor="light1"/>
        <w:left w:val="single" w:sz="4" w:space="0" w:color="FFFFFF" w:themeColor="light1"/>
        <w:bottom w:val="single" w:sz="4" w:space="0" w:color="FFFFFF" w:themeColor="light1"/>
        <w:right w:val="single" w:sz="4" w:space="0" w:color="FFFFFF" w:themeColor="light1"/>
        <w:insideH w:val="single" w:sz="4" w:space="0" w:color="FFFFFF" w:themeColor="light1"/>
        <w:insideV w:val="single" w:sz="4" w:space="0" w:color="FFFFFF" w:themeColor="light1"/>
      </w:tblBorders>
      <w:shd w:val="clear" w:color="FFF2CB" w:fill="FFF2CB" w:themeFill="accent4" w:themeFillTint="34"/>
    </w:tblPr>
    <w:tblStylePr w:type="firstRow">
      <w:rPr>
        <w:rFonts w:ascii="Arial" w:hAnsi="Arial"/>
        <w:b/>
        <w:color w:val="FFFFFF"/>
        <w:sz w:val="22"/>
      </w:rPr>
      <w:tblPr/>
      <w:tcPr>
        <w:shd w:val="clear" w:color="FFC000" w:fill="FFC000" w:themeFill="accent4"/>
      </w:tcPr>
    </w:tblStylePr>
    <w:tblStylePr w:type="lastRow">
      <w:rPr>
        <w:rFonts w:ascii="Arial" w:hAnsi="Arial"/>
        <w:b/>
        <w:color w:val="FFFFFF"/>
        <w:sz w:val="22"/>
      </w:rPr>
      <w:tblPr/>
      <w:tcPr>
        <w:tcBorders>
          <w:top w:val="single" w:sz="4" w:space="0" w:color="FFFFFF" w:themeColor="light1"/>
        </w:tcBorders>
        <w:shd w:val="clear" w:color="FFC000" w:fill="FFC000" w:themeFill="accent4"/>
      </w:tcPr>
    </w:tblStylePr>
    <w:tblStylePr w:type="firstCol">
      <w:rPr>
        <w:rFonts w:ascii="Arial" w:hAnsi="Arial"/>
        <w:b/>
        <w:color w:val="FFFFFF"/>
        <w:sz w:val="22"/>
      </w:rPr>
      <w:tblPr/>
      <w:tcPr>
        <w:shd w:val="clear" w:color="FFC000" w:fill="FFC000" w:themeFill="accent4"/>
      </w:tcPr>
    </w:tblStylePr>
    <w:tblStylePr w:type="lastCol">
      <w:rPr>
        <w:rFonts w:ascii="Arial" w:hAnsi="Arial"/>
        <w:b/>
        <w:color w:val="FFFFFF"/>
        <w:sz w:val="22"/>
      </w:rPr>
      <w:tblPr/>
      <w:tcPr>
        <w:shd w:val="clear" w:color="FFC000" w:fill="FFC000" w:themeFill="accent4"/>
      </w:tcPr>
    </w:tblStylePr>
    <w:tblStylePr w:type="band1Vert">
      <w:tblPr/>
      <w:tcPr>
        <w:shd w:val="clear" w:color="FFE28A" w:fill="FFE28A" w:themeFill="accent4" w:themeFillTint="75"/>
      </w:tcPr>
    </w:tblStylePr>
    <w:tblStylePr w:type="band1Horz">
      <w:tblPr/>
      <w:tcPr>
        <w:shd w:val="clear" w:color="FFE28A" w:fill="FFE28A" w:themeFill="accent4" w:themeFillTint="75"/>
      </w:tcPr>
    </w:tblStylePr>
  </w:style>
  <w:style w:type="table" w:styleId="GridTable6Colorful">
    <w:name w:val="Grid Table 6 Colorful"/>
    <w:basedOn w:val="TableNormal"/>
    <w:uiPriority w:val="99"/>
    <w:pPr>
      <w:spacing w:after="0" w:line="240" w:lineRule="auto"/>
    </w:pPr>
    <w:tblPr>
      <w:tblStyleRowBandSize w:val="1"/>
      <w:tblStyleColBandSize w:val="1"/>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b/>
        <w:color w:val="7F7F7F" w:themeColor="text1" w:themeTint="80" w:themeShade="95"/>
      </w:rPr>
      <w:tblPr/>
      <w:tcPr>
        <w:tcBorders>
          <w:bottom w:val="single" w:sz="12" w:space="0" w:color="7F7F7F" w:themeColor="text1" w:themeTint="80"/>
        </w:tcBorders>
      </w:tcPr>
    </w:tblStylePr>
    <w:tblStylePr w:type="lastRow">
      <w:rPr>
        <w:b/>
        <w:color w:val="7F7F7F" w:themeColor="text1" w:themeTint="80" w:themeShade="95"/>
      </w:rPr>
    </w:tblStylePr>
    <w:tblStylePr w:type="firstCol">
      <w:rPr>
        <w:b/>
        <w:color w:val="7F7F7F" w:themeColor="text1" w:themeTint="80" w:themeShade="95"/>
      </w:rPr>
    </w:tblStylePr>
    <w:tblStylePr w:type="lastCol">
      <w:rPr>
        <w:b/>
        <w:color w:val="7F7F7F" w:themeColor="text1" w:themeTint="80" w:themeShade="95"/>
      </w:rPr>
    </w:tblStylePr>
    <w:tblStylePr w:type="band1Vert">
      <w:tblPr/>
      <w:tcPr>
        <w:shd w:val="clear" w:color="CBCBCB" w:fill="CBCBCB" w:themeFill="text1" w:themeFillTint="34"/>
      </w:tcPr>
    </w:tblStylePr>
    <w:tblStylePr w:type="band1Horz">
      <w:rPr>
        <w:rFonts w:ascii="Arial" w:hAnsi="Arial"/>
        <w:color w:val="7F7F7F" w:themeColor="text1" w:themeTint="80" w:themeShade="95"/>
        <w:sz w:val="22"/>
      </w:rPr>
      <w:tblPr/>
      <w:tcPr>
        <w:shd w:val="clear" w:color="CBCBCB" w:fill="CBCBCB" w:themeFill="text1" w:themeFillTint="34"/>
      </w:tcPr>
    </w:tblStylePr>
    <w:tblStylePr w:type="band2Horz">
      <w:rPr>
        <w:rFonts w:ascii="Arial" w:hAnsi="Arial"/>
        <w:color w:val="7F7F7F" w:themeColor="text1" w:themeTint="80" w:themeShade="95"/>
        <w:sz w:val="22"/>
      </w:rPr>
    </w:tblStylePr>
  </w:style>
  <w:style w:type="table" w:styleId="GridTable7Colorful">
    <w:name w:val="Grid Table 7 Colorful"/>
    <w:basedOn w:val="TableNormal"/>
    <w:uiPriority w:val="99"/>
    <w:pPr>
      <w:spacing w:after="0" w:line="240" w:lineRule="auto"/>
    </w:pPr>
    <w:tblPr>
      <w:tblStyleRowBandSize w:val="1"/>
      <w:tblStyleColBandSize w:val="1"/>
      <w:tblBorders>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Pr>
    <w:tblStylePr w:type="firstRow">
      <w:rPr>
        <w:rFonts w:ascii="Arial" w:hAnsi="Arial"/>
        <w:b/>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b/>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F2F2F2" w:fill="F2F2F2" w:themeFill="text1" w:themeFillTint="0D"/>
      </w:tcPr>
    </w:tblStylePr>
    <w:tblStylePr w:type="band1Horz">
      <w:rPr>
        <w:rFonts w:ascii="Arial" w:hAnsi="Arial"/>
        <w:color w:val="7F7F7F" w:themeColor="text1" w:themeTint="80" w:themeShade="95"/>
        <w:sz w:val="22"/>
      </w:rPr>
      <w:tblPr/>
      <w:tcPr>
        <w:shd w:val="clear" w:color="F2F2F2" w:fill="F2F2F2" w:themeFill="text1" w:themeFillTint="0D"/>
      </w:tcPr>
    </w:tblStylePr>
    <w:tblStylePr w:type="band2Horz">
      <w:rPr>
        <w:rFonts w:ascii="Arial" w:hAnsi="Arial"/>
        <w:color w:val="7F7F7F" w:themeColor="text1" w:themeTint="80" w:themeShade="95"/>
        <w:sz w:val="22"/>
      </w:rPr>
    </w:tblStylePr>
  </w:style>
  <w:style w:type="table" w:styleId="ListTable1Light">
    <w:name w:val="List Table 1 Light"/>
    <w:basedOn w:val="TableNormal"/>
    <w:uiPriority w:val="99"/>
    <w:pPr>
      <w:spacing w:after="0" w:line="240" w:lineRule="auto"/>
    </w:pPr>
    <w:tblPr>
      <w:tblStyleRowBandSize w:val="1"/>
      <w:tblStyleColBandSize w:val="1"/>
    </w:tblPr>
    <w:tblStylePr w:type="firstRow">
      <w:rPr>
        <w:b/>
        <w:color w:val="404040"/>
      </w:rPr>
      <w:tblPr/>
      <w:tcPr>
        <w:tcBorders>
          <w:top w:val="none" w:sz="4" w:space="0" w:color="000000"/>
          <w:left w:val="none" w:sz="4" w:space="0" w:color="000000"/>
          <w:bottom w:val="single" w:sz="4" w:space="0" w:color="000000" w:themeColor="text1"/>
          <w:right w:val="none" w:sz="4" w:space="0" w:color="000000"/>
        </w:tcBorders>
      </w:tcPr>
    </w:tblStylePr>
    <w:tblStylePr w:type="lastRow">
      <w:rPr>
        <w:b/>
        <w:color w:val="404040"/>
      </w:rPr>
      <w:tblPr/>
      <w:tcPr>
        <w:tcBorders>
          <w:top w:val="single" w:sz="4" w:space="0" w:color="000000" w:themeColor="text1"/>
          <w:left w:val="none" w:sz="4" w:space="0" w:color="000000"/>
          <w:bottom w:val="none" w:sz="4" w:space="0" w:color="000000"/>
          <w:right w:val="none" w:sz="4" w:space="0" w:color="000000"/>
        </w:tcBorders>
      </w:tcPr>
    </w:tblStylePr>
    <w:tblStylePr w:type="firstCol">
      <w:rPr>
        <w:b/>
        <w:color w:val="404040"/>
      </w:rPr>
    </w:tblStylePr>
    <w:tblStylePr w:type="lastCol">
      <w:rPr>
        <w:b/>
        <w:color w:val="404040"/>
      </w:rPr>
    </w:tblStylePr>
    <w:tblStylePr w:type="band1Vert">
      <w:tblPr/>
      <w:tcPr>
        <w:shd w:val="clear" w:color="BFBFBF" w:fill="BFBFBF" w:themeFill="text1" w:themeFillTint="40"/>
      </w:tcPr>
    </w:tblStylePr>
    <w:tblStylePr w:type="band1Horz">
      <w:tblPr/>
      <w:tcPr>
        <w:shd w:val="clear" w:color="BFBFBF" w:fill="BFBFBF" w:themeFill="text1" w:themeFillTint="40"/>
      </w:tcPr>
    </w:tblStylePr>
  </w:style>
  <w:style w:type="table" w:styleId="ListTable2">
    <w:name w:val="List Table 2"/>
    <w:basedOn w:val="TableNormal"/>
    <w:uiPriority w:val="99"/>
    <w:pPr>
      <w:spacing w:after="0" w:line="240" w:lineRule="auto"/>
    </w:pPr>
    <w:tblPr>
      <w:tblStyleRowBandSize w:val="1"/>
      <w:tblStyleColBandSize w:val="1"/>
      <w:tblBorders>
        <w:top w:val="single" w:sz="4" w:space="0" w:color="6F6F6F" w:themeColor="text1" w:themeTint="90"/>
        <w:bottom w:val="single" w:sz="4" w:space="0" w:color="6F6F6F" w:themeColor="text1" w:themeTint="90"/>
        <w:insideH w:val="single" w:sz="4" w:space="0" w:color="6F6F6F" w:themeColor="text1" w:themeTint="90"/>
      </w:tblBorders>
    </w:tblPr>
    <w:tblStylePr w:type="fir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lastRow">
      <w:rPr>
        <w:rFonts w:ascii="Arial" w:hAnsi="Arial"/>
        <w:b/>
        <w:color w:val="404040"/>
        <w:sz w:val="22"/>
      </w:rPr>
      <w:tblPr/>
      <w:tcPr>
        <w:tcBorders>
          <w:top w:val="single" w:sz="4" w:space="0" w:color="6F6F6F" w:themeColor="text1" w:themeTint="90"/>
          <w:left w:val="none" w:sz="4" w:space="0" w:color="000000"/>
          <w:bottom w:val="single" w:sz="4" w:space="0" w:color="6F6F6F" w:themeColor="text1" w:themeTint="90"/>
          <w:right w:val="none" w:sz="4" w:space="0" w:color="000000"/>
        </w:tcBorders>
      </w:tcPr>
    </w:tblStylePr>
    <w:tblStylePr w:type="firstCol">
      <w:rPr>
        <w:rFonts w:ascii="Arial" w:hAnsi="Arial"/>
        <w:b/>
        <w:color w:val="404040"/>
        <w:sz w:val="22"/>
      </w:rPr>
    </w:tblStylePr>
    <w:tblStylePr w:type="lastCol">
      <w:rPr>
        <w:rFonts w:ascii="Arial" w:hAnsi="Arial"/>
        <w:b/>
        <w:color w:val="404040"/>
        <w:sz w:val="22"/>
      </w:rPr>
    </w:tblStylePr>
    <w:tblStylePr w:type="band1Vert">
      <w:rPr>
        <w:rFonts w:ascii="Arial" w:hAnsi="Arial"/>
        <w:color w:val="404040"/>
        <w:sz w:val="22"/>
      </w:rPr>
      <w:tblPr/>
      <w:tcPr>
        <w:shd w:val="clear" w:color="BFBFBF" w:fill="BFBFBF" w:themeFill="text1" w:themeFillTint="40"/>
      </w:tcPr>
    </w:tblStylePr>
    <w:tblStylePr w:type="band1Horz">
      <w:rPr>
        <w:rFonts w:ascii="Arial" w:hAnsi="Arial"/>
        <w:color w:val="404040"/>
        <w:sz w:val="22"/>
      </w:rPr>
      <w:tblPr/>
      <w:tcPr>
        <w:shd w:val="clear" w:color="BFBFBF" w:fill="BFBFBF" w:themeFill="text1" w:themeFillTint="40"/>
      </w:tcPr>
    </w:tblStylePr>
  </w:style>
  <w:style w:type="table" w:styleId="ListTable3">
    <w:name w:val="List Table 3"/>
    <w:basedOn w:val="Table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rFonts w:ascii="Arial" w:hAnsi="Arial"/>
        <w:b/>
        <w:color w:val="FFFFFF"/>
        <w:sz w:val="22"/>
      </w:rPr>
      <w:tblPr/>
      <w:tcPr>
        <w:shd w:val="clear" w:color="000000"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tcBorders>
          <w:left w:val="single" w:sz="4" w:space="0" w:color="000000" w:themeColor="text1"/>
          <w:right w:val="single" w:sz="4" w:space="0" w:color="000000" w:themeColor="text1"/>
        </w:tcBorders>
      </w:tcPr>
    </w:tblStylePr>
    <w:tblStylePr w:type="band1Horz">
      <w:rPr>
        <w:rFonts w:ascii="Arial" w:hAnsi="Arial"/>
        <w:color w:val="404040"/>
        <w:sz w:val="22"/>
      </w:rPr>
      <w:tblPr/>
      <w:tcPr>
        <w:tcBorders>
          <w:top w:val="single" w:sz="4" w:space="0" w:color="000000" w:themeColor="text1"/>
          <w:bottom w:val="single" w:sz="4" w:space="0" w:color="000000" w:themeColor="text1"/>
        </w:tcBorders>
      </w:tcPr>
    </w:tblStylePr>
  </w:style>
  <w:style w:type="table" w:styleId="ListTable4">
    <w:name w:val="List Table 4"/>
    <w:basedOn w:val="TableNormal"/>
    <w:uiPriority w:val="99"/>
    <w:pPr>
      <w:spacing w:after="0" w:line="240" w:lineRule="auto"/>
    </w:p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tblBorders>
    </w:tblPr>
    <w:tblStylePr w:type="firstRow">
      <w:rPr>
        <w:rFonts w:ascii="Arial" w:hAnsi="Arial"/>
        <w:b/>
        <w:color w:val="FFFFFF"/>
        <w:sz w:val="22"/>
      </w:rPr>
      <w:tblPr/>
      <w:tcPr>
        <w:shd w:val="clear" w:color="000000" w:fill="000000" w:themeFill="text1"/>
      </w:tcPr>
    </w:tblStylePr>
    <w:tblStylePr w:type="lastRow">
      <w:rPr>
        <w:b/>
        <w:color w:val="404040"/>
      </w:rPr>
    </w:tblStylePr>
    <w:tblStylePr w:type="firstCol">
      <w:rPr>
        <w:b/>
        <w:color w:val="404040"/>
      </w:rPr>
    </w:tblStylePr>
    <w:tblStylePr w:type="lastCol">
      <w:rPr>
        <w:b/>
        <w:color w:val="404040"/>
      </w:rPr>
    </w:tblStylePr>
    <w:tblStylePr w:type="band1Vert">
      <w:rPr>
        <w:rFonts w:ascii="Arial" w:hAnsi="Arial"/>
        <w:color w:val="404040"/>
        <w:sz w:val="22"/>
      </w:rPr>
      <w:tblPr/>
      <w:tcPr>
        <w:shd w:val="clear" w:color="BFBFBF" w:fill="BFBFBF" w:themeFill="text1" w:themeFillTint="40"/>
      </w:tcPr>
    </w:tblStylePr>
    <w:tblStylePr w:type="band1Horz">
      <w:rPr>
        <w:rFonts w:ascii="Arial" w:hAnsi="Arial"/>
        <w:color w:val="404040"/>
        <w:sz w:val="22"/>
      </w:rPr>
      <w:tblPr/>
      <w:tcPr>
        <w:shd w:val="clear" w:color="BFBFBF" w:fill="BFBFBF" w:themeFill="text1" w:themeFillTint="40"/>
      </w:tcPr>
    </w:tblStylePr>
  </w:style>
  <w:style w:type="table" w:styleId="ListTable5Dark">
    <w:name w:val="List Table 5 Dark"/>
    <w:basedOn w:val="TableNormal"/>
    <w:uiPriority w:val="99"/>
    <w:pPr>
      <w:spacing w:after="0" w:line="240" w:lineRule="auto"/>
    </w:pPr>
    <w:tblPr>
      <w:tblStyleRowBandSize w:val="1"/>
      <w:tblStyleColBandSize w:val="1"/>
      <w:tblBorders>
        <w:top w:val="single" w:sz="32" w:space="0" w:color="7F7F7F" w:themeColor="text1" w:themeTint="80"/>
        <w:left w:val="single" w:sz="32" w:space="0" w:color="7F7F7F" w:themeColor="text1" w:themeTint="80"/>
        <w:bottom w:val="single" w:sz="32" w:space="0" w:color="7F7F7F" w:themeColor="text1" w:themeTint="80"/>
        <w:right w:val="single" w:sz="32" w:space="0" w:color="7F7F7F" w:themeColor="text1" w:themeTint="80"/>
      </w:tblBorders>
      <w:shd w:val="clear" w:color="7F7F7F" w:fill="7F7F7F" w:themeFill="text1" w:themeFillTint="80"/>
    </w:tblPr>
    <w:tblStylePr w:type="firstRow">
      <w:rPr>
        <w:rFonts w:ascii="Arial" w:hAnsi="Arial"/>
        <w:b/>
        <w:color w:val="FFFFFF" w:themeColor="light1"/>
        <w:sz w:val="22"/>
      </w:rPr>
      <w:tblPr/>
      <w:tcPr>
        <w:tcBorders>
          <w:top w:val="single" w:sz="32" w:space="0" w:color="7F7F7F" w:themeColor="text1" w:themeTint="80"/>
          <w:bottom w:val="single" w:sz="12" w:space="0" w:color="FFFFFF" w:themeColor="light1"/>
        </w:tcBorders>
        <w:shd w:val="clear" w:color="7F7F7F" w:fill="7F7F7F" w:themeFill="text1" w:themeFillTint="80"/>
      </w:tcPr>
    </w:tblStylePr>
    <w:tblStylePr w:type="lastRow">
      <w:rPr>
        <w:rFonts w:ascii="Arial" w:hAnsi="Arial"/>
        <w:b/>
        <w:color w:val="FFFFFF" w:themeColor="light1"/>
        <w:sz w:val="22"/>
      </w:rPr>
    </w:tblStylePr>
    <w:tblStylePr w:type="firstCol">
      <w:rPr>
        <w:rFonts w:ascii="Arial" w:hAnsi="Arial"/>
        <w:b/>
        <w:color w:val="FFFFFF" w:themeColor="light1"/>
        <w:sz w:val="22"/>
      </w:rPr>
      <w:tblPr/>
      <w:tcPr>
        <w:tcBorders>
          <w:left w:val="single" w:sz="32" w:space="0" w:color="7F7F7F" w:themeColor="text1" w:themeTint="80"/>
          <w:right w:val="single" w:sz="4" w:space="0" w:color="FFFFFF" w:themeColor="light1"/>
        </w:tcBorders>
      </w:tcPr>
    </w:tblStylePr>
    <w:tblStylePr w:type="lastCol">
      <w:tblPr/>
      <w:tcPr>
        <w:tcBorders>
          <w:left w:val="single" w:sz="4" w:space="0" w:color="FFFFFF" w:themeColor="light1"/>
          <w:right w:val="single" w:sz="32" w:space="0" w:color="7F7F7F" w:themeColor="text1" w:themeTint="80"/>
        </w:tcBorders>
      </w:tcPr>
    </w:tblStylePr>
    <w:tblStylePr w:type="band1Vert">
      <w:tblPr/>
      <w:tcPr>
        <w:tcBorders>
          <w:left w:val="single" w:sz="4" w:space="0" w:color="FFFFFF" w:themeColor="light1"/>
          <w:right w:val="single" w:sz="4" w:space="0" w:color="FFFFFF" w:themeColor="light1"/>
        </w:tcBorders>
        <w:shd w:val="clear" w:color="7F7F7F" w:fill="7F7F7F" w:themeFill="text1" w:themeFillTint="80"/>
      </w:tcPr>
    </w:tblStylePr>
    <w:tblStylePr w:type="band2Vert">
      <w:tblPr/>
      <w:tcPr>
        <w:tcBorders>
          <w:left w:val="single" w:sz="4" w:space="0" w:color="FFFFFF" w:themeColor="light1"/>
          <w:right w:val="single" w:sz="4" w:space="0" w:color="FFFFFF" w:themeColor="light1"/>
        </w:tcBorders>
      </w:tcPr>
    </w:tblStylePr>
    <w:tblStylePr w:type="band1Horz">
      <w:tblPr/>
      <w:tcPr>
        <w:tcBorders>
          <w:top w:val="single" w:sz="4" w:space="0" w:color="FFFFFF" w:themeColor="light1"/>
          <w:bottom w:val="single" w:sz="4" w:space="0" w:color="FFFFFF" w:themeColor="light1"/>
        </w:tcBorders>
        <w:shd w:val="clear" w:color="7F7F7F" w:fill="7F7F7F" w:themeFill="text1" w:themeFillTint="80"/>
      </w:tcPr>
    </w:tblStylePr>
    <w:tblStylePr w:type="band2Horz">
      <w:tblPr/>
      <w:tcPr>
        <w:tcBorders>
          <w:top w:val="single" w:sz="4" w:space="0" w:color="FFFFFF" w:themeColor="light1"/>
          <w:bottom w:val="single" w:sz="4" w:space="0" w:color="FFFFFF" w:themeColor="light1"/>
        </w:tcBorders>
        <w:shd w:val="clear" w:color="7F7F7F" w:fill="7F7F7F" w:themeFill="text1" w:themeFillTint="80"/>
      </w:tcPr>
    </w:tblStylePr>
  </w:style>
  <w:style w:type="table" w:styleId="ListTable6Colorful">
    <w:name w:val="List Table 6 Colorful"/>
    <w:basedOn w:val="TableNormal"/>
    <w:uiPriority w:val="99"/>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color w:val="000000" w:themeColor="text1"/>
      </w:rPr>
      <w:tblPr/>
      <w:tcPr>
        <w:tcBorders>
          <w:bottom w:val="single" w:sz="4" w:space="0" w:color="7F7F7F" w:themeColor="text1" w:themeTint="80"/>
        </w:tcBorders>
      </w:tcPr>
    </w:tblStylePr>
    <w:tblStylePr w:type="lastRow">
      <w:rPr>
        <w:b/>
        <w:color w:val="000000" w:themeColor="text1"/>
      </w:rPr>
      <w:tblPr/>
      <w:tcPr>
        <w:tcBorders>
          <w:top w:val="single" w:sz="4" w:space="0" w:color="7F7F7F" w:themeColor="text1" w:themeTint="80"/>
        </w:tcBorders>
      </w:tcPr>
    </w:tblStylePr>
    <w:tblStylePr w:type="firstCol">
      <w:rPr>
        <w:b/>
        <w:color w:val="000000" w:themeColor="text1"/>
      </w:rPr>
    </w:tblStylePr>
    <w:tblStylePr w:type="lastCol">
      <w:rPr>
        <w:b/>
        <w:color w:val="000000" w:themeColor="text1"/>
      </w:rPr>
    </w:tblStylePr>
    <w:tblStylePr w:type="band1Vert">
      <w:tblPr/>
      <w:tcPr>
        <w:shd w:val="clear" w:color="BFBFBF" w:fill="BFBFBF" w:themeFill="text1" w:themeFillTint="40"/>
      </w:tcPr>
    </w:tblStylePr>
    <w:tblStylePr w:type="band1Horz">
      <w:rPr>
        <w:rFonts w:ascii="Arial" w:hAnsi="Arial"/>
        <w:color w:val="000000" w:themeColor="text1"/>
        <w:sz w:val="22"/>
      </w:rPr>
      <w:tblPr/>
      <w:tcPr>
        <w:shd w:val="clear" w:color="BFBFBF" w:fill="BFBFBF" w:themeFill="text1" w:themeFillTint="40"/>
      </w:tcPr>
    </w:tblStylePr>
    <w:tblStylePr w:type="band2Horz">
      <w:rPr>
        <w:rFonts w:ascii="Arial" w:hAnsi="Arial"/>
        <w:color w:val="000000" w:themeColor="text1"/>
        <w:sz w:val="22"/>
      </w:rPr>
    </w:tblStylePr>
  </w:style>
  <w:style w:type="table" w:styleId="ListTable7Colorful">
    <w:name w:val="List Table 7 Colorful"/>
    <w:basedOn w:val="TableNormal"/>
    <w:uiPriority w:val="99"/>
    <w:pPr>
      <w:spacing w:after="0" w:line="240" w:lineRule="auto"/>
    </w:pPr>
    <w:tblPr>
      <w:tblStyleRowBandSize w:val="1"/>
      <w:tblStyleColBandSize w:val="1"/>
      <w:tblBorders>
        <w:right w:val="single" w:sz="4" w:space="0" w:color="7F7F7F" w:themeColor="text1" w:themeTint="80"/>
      </w:tblBorders>
    </w:tblPr>
    <w:tblStylePr w:type="firstRow">
      <w:rPr>
        <w:rFonts w:ascii="Arial" w:hAnsi="Arial"/>
        <w:i/>
        <w:color w:val="7F7F7F" w:themeColor="text1" w:themeTint="80" w:themeShade="95"/>
        <w:sz w:val="22"/>
      </w:rPr>
      <w:tblPr/>
      <w:tcPr>
        <w:tcBorders>
          <w:top w:val="none" w:sz="4" w:space="0" w:color="000000"/>
          <w:left w:val="none" w:sz="4" w:space="0" w:color="000000"/>
          <w:bottom w:val="single" w:sz="4" w:space="0" w:color="7F7F7F" w:themeColor="text1" w:themeTint="80"/>
          <w:right w:val="none" w:sz="4" w:space="0" w:color="000000"/>
        </w:tcBorders>
        <w:shd w:val="clear" w:color="FFFFFF" w:fill="FFFFFF" w:themeFill="light1"/>
      </w:tcPr>
    </w:tblStylePr>
    <w:tblStylePr w:type="lastRow">
      <w:rPr>
        <w:rFonts w:ascii="Arial" w:hAnsi="Arial"/>
        <w:i/>
        <w:color w:val="7F7F7F" w:themeColor="text1" w:themeTint="80" w:themeShade="95"/>
        <w:sz w:val="22"/>
      </w:rPr>
      <w:tblPr/>
      <w:tcPr>
        <w:tcBorders>
          <w:top w:val="single" w:sz="4" w:space="0" w:color="7F7F7F" w:themeColor="text1" w:themeTint="80"/>
          <w:left w:val="none" w:sz="4" w:space="0" w:color="000000"/>
          <w:bottom w:val="none" w:sz="4" w:space="0" w:color="000000"/>
          <w:right w:val="none" w:sz="4" w:space="0" w:color="000000"/>
        </w:tcBorders>
        <w:shd w:val="clear" w:color="FFFFFF" w:fill="FFFFFF" w:themeFill="light1"/>
      </w:tcPr>
    </w:tblStylePr>
    <w:tblStylePr w:type="firstCol">
      <w:pPr>
        <w:jc w:val="right"/>
      </w:pPr>
      <w:rPr>
        <w:rFonts w:ascii="Arial" w:hAnsi="Arial"/>
        <w:i/>
        <w:color w:val="7F7F7F" w:themeColor="text1" w:themeTint="80" w:themeShade="95"/>
        <w:sz w:val="22"/>
      </w:rPr>
      <w:tblPr/>
      <w:tcPr>
        <w:tcBorders>
          <w:top w:val="none" w:sz="4" w:space="0" w:color="000000"/>
          <w:left w:val="none" w:sz="4" w:space="0" w:color="000000"/>
          <w:bottom w:val="none" w:sz="4" w:space="0" w:color="000000"/>
          <w:right w:val="single" w:sz="4" w:space="0" w:color="7F7F7F" w:themeColor="text1" w:themeTint="80"/>
        </w:tcBorders>
        <w:shd w:val="clear" w:color="FFFFFF" w:fill="FFFFFF"/>
      </w:tcPr>
    </w:tblStylePr>
    <w:tblStylePr w:type="lastCol">
      <w:rPr>
        <w:rFonts w:ascii="Arial" w:hAnsi="Arial"/>
        <w:i/>
        <w:color w:val="7F7F7F" w:themeColor="text1" w:themeTint="80" w:themeShade="95"/>
        <w:sz w:val="22"/>
      </w:rPr>
      <w:tblPr/>
      <w:tcPr>
        <w:tcBorders>
          <w:top w:val="none" w:sz="4" w:space="0" w:color="000000"/>
          <w:left w:val="single" w:sz="4" w:space="0" w:color="7F7F7F" w:themeColor="text1" w:themeTint="80"/>
          <w:bottom w:val="none" w:sz="4" w:space="0" w:color="000000"/>
          <w:right w:val="none" w:sz="4" w:space="0" w:color="000000"/>
        </w:tcBorders>
        <w:shd w:val="clear" w:color="FFFFFF" w:fill="FFFFFF"/>
      </w:tcPr>
    </w:tblStylePr>
    <w:tblStylePr w:type="band1Vert">
      <w:tblPr/>
      <w:tcPr>
        <w:shd w:val="clear" w:color="BFBFBF" w:fill="BFBFBF" w:themeFill="text1" w:themeFillTint="40"/>
      </w:tcPr>
    </w:tblStylePr>
    <w:tblStylePr w:type="band1Horz">
      <w:rPr>
        <w:rFonts w:ascii="Arial" w:hAnsi="Arial"/>
        <w:color w:val="7F7F7F" w:themeColor="text1" w:themeTint="80" w:themeShade="95"/>
        <w:sz w:val="22"/>
      </w:rPr>
      <w:tblPr/>
      <w:tcPr>
        <w:shd w:val="clear" w:color="BFBFBF" w:fill="BFBFBF" w:themeFill="text1" w:themeFillTint="40"/>
      </w:tcPr>
    </w:tblStylePr>
    <w:tblStylePr w:type="band2Horz">
      <w:rPr>
        <w:rFonts w:ascii="Arial" w:hAnsi="Arial"/>
        <w:color w:val="7F7F7F" w:themeColor="text1" w:themeTint="80" w:themeShade="95"/>
        <w:sz w:val="22"/>
      </w:rPr>
    </w:tblStylePr>
  </w:style>
  <w:style w:type="table" w:customStyle="1" w:styleId="Lined-Accent">
    <w:name w:val="Lined - Accent"/>
    <w:basedOn w:val="TableNormal"/>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7F7F7F" w:fill="7F7F7F" w:themeFill="text1" w:themeFillTint="80"/>
      </w:tcPr>
    </w:tblStylePr>
    <w:tblStylePr w:type="lastRow">
      <w:rPr>
        <w:rFonts w:ascii="Arial" w:hAnsi="Arial"/>
        <w:color w:val="F2F2F2"/>
        <w:sz w:val="22"/>
      </w:rPr>
      <w:tblPr/>
      <w:tcPr>
        <w:shd w:val="clear" w:color="7F7F7F" w:fill="7F7F7F" w:themeFill="text1" w:themeFillTint="80"/>
      </w:tcPr>
    </w:tblStylePr>
    <w:tblStylePr w:type="firstCol">
      <w:rPr>
        <w:rFonts w:ascii="Arial" w:hAnsi="Arial"/>
        <w:color w:val="F2F2F2"/>
        <w:sz w:val="22"/>
      </w:rPr>
      <w:tblPr/>
      <w:tcPr>
        <w:shd w:val="clear" w:color="7F7F7F" w:fill="7F7F7F" w:themeFill="text1" w:themeFillTint="80"/>
      </w:tcPr>
    </w:tblStylePr>
    <w:tblStylePr w:type="lastCol">
      <w:rPr>
        <w:rFonts w:ascii="Arial" w:hAnsi="Arial"/>
        <w:color w:val="F2F2F2"/>
        <w:sz w:val="22"/>
      </w:rPr>
      <w:tblPr/>
      <w:tcPr>
        <w:shd w:val="clear" w:color="7F7F7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fill="F2F2F2" w:themeFill="text1" w:themeFillTint="0D"/>
      </w:tcPr>
    </w:tblStylePr>
  </w:style>
  <w:style w:type="table" w:customStyle="1" w:styleId="Lined-Accent1">
    <w:name w:val="Lined - Accent 1"/>
    <w:basedOn w:val="TableNormal"/>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68A2D8" w:fill="68A2D8" w:themeFill="accent1" w:themeFillTint="EA"/>
      </w:tcPr>
    </w:tblStylePr>
    <w:tblStylePr w:type="lastRow">
      <w:rPr>
        <w:rFonts w:ascii="Arial" w:hAnsi="Arial"/>
        <w:color w:val="F2F2F2"/>
        <w:sz w:val="22"/>
      </w:rPr>
      <w:tblPr/>
      <w:tcPr>
        <w:shd w:val="clear" w:color="68A2D8" w:fill="68A2D8" w:themeFill="accent1" w:themeFillTint="EA"/>
      </w:tcPr>
    </w:tblStylePr>
    <w:tblStylePr w:type="firstCol">
      <w:rPr>
        <w:rFonts w:ascii="Arial" w:hAnsi="Arial"/>
        <w:color w:val="F2F2F2"/>
        <w:sz w:val="22"/>
      </w:rPr>
      <w:tblPr/>
      <w:tcPr>
        <w:shd w:val="clear" w:color="68A2D8" w:fill="68A2D8" w:themeFill="accent1" w:themeFillTint="EA"/>
      </w:tcPr>
    </w:tblStylePr>
    <w:tblStylePr w:type="lastCol">
      <w:rPr>
        <w:rFonts w:ascii="Arial" w:hAnsi="Arial"/>
        <w:color w:val="F2F2F2"/>
        <w:sz w:val="22"/>
      </w:rPr>
      <w:tblPr/>
      <w:tcPr>
        <w:shd w:val="clear" w:color="68A2D8"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fill="CBDFF1" w:themeFill="accent1" w:themeFillTint="50"/>
      </w:tcPr>
    </w:tblStylePr>
  </w:style>
  <w:style w:type="table" w:customStyle="1" w:styleId="Lined-Accent2">
    <w:name w:val="Lined - Accent 2"/>
    <w:basedOn w:val="TableNormal"/>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4B184" w:fill="F4B184" w:themeFill="accent2" w:themeFillTint="97"/>
      </w:tcPr>
    </w:tblStylePr>
    <w:tblStylePr w:type="lastRow">
      <w:rPr>
        <w:rFonts w:ascii="Arial" w:hAnsi="Arial"/>
        <w:color w:val="F2F2F2"/>
        <w:sz w:val="22"/>
      </w:rPr>
      <w:tblPr/>
      <w:tcPr>
        <w:shd w:val="clear" w:color="F4B184" w:fill="F4B184" w:themeFill="accent2" w:themeFillTint="97"/>
      </w:tcPr>
    </w:tblStylePr>
    <w:tblStylePr w:type="firstCol">
      <w:rPr>
        <w:rFonts w:ascii="Arial" w:hAnsi="Arial"/>
        <w:color w:val="F2F2F2"/>
        <w:sz w:val="22"/>
      </w:rPr>
      <w:tblPr/>
      <w:tcPr>
        <w:shd w:val="clear" w:color="F4B184" w:fill="F4B184" w:themeFill="accent2" w:themeFillTint="97"/>
      </w:tcPr>
    </w:tblStylePr>
    <w:tblStylePr w:type="lastCol">
      <w:rPr>
        <w:rFonts w:ascii="Arial" w:hAnsi="Arial"/>
        <w:color w:val="F2F2F2"/>
        <w:sz w:val="22"/>
      </w:rPr>
      <w:tblPr/>
      <w:tcPr>
        <w:shd w:val="clear" w:color="F4B184"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fill="FBE5D6" w:themeFill="accent2" w:themeFillTint="32"/>
      </w:tcPr>
    </w:tblStylePr>
  </w:style>
  <w:style w:type="table" w:customStyle="1" w:styleId="Lined-Accent3">
    <w:name w:val="Lined - Accent 3"/>
    <w:basedOn w:val="TableNormal"/>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A5A5A5" w:fill="A5A5A5" w:themeFill="accent3" w:themeFillTint="FE"/>
      </w:tcPr>
    </w:tblStylePr>
    <w:tblStylePr w:type="lastRow">
      <w:rPr>
        <w:rFonts w:ascii="Arial" w:hAnsi="Arial"/>
        <w:color w:val="F2F2F2"/>
        <w:sz w:val="22"/>
      </w:rPr>
      <w:tblPr/>
      <w:tcPr>
        <w:shd w:val="clear" w:color="A5A5A5" w:fill="A5A5A5" w:themeFill="accent3" w:themeFillTint="FE"/>
      </w:tcPr>
    </w:tblStylePr>
    <w:tblStylePr w:type="firstCol">
      <w:rPr>
        <w:rFonts w:ascii="Arial" w:hAnsi="Arial"/>
        <w:color w:val="F2F2F2"/>
        <w:sz w:val="22"/>
      </w:rPr>
      <w:tblPr/>
      <w:tcPr>
        <w:shd w:val="clear" w:color="A5A5A5" w:fill="A5A5A5" w:themeFill="accent3" w:themeFillTint="FE"/>
      </w:tcPr>
    </w:tblStylePr>
    <w:tblStylePr w:type="lastCol">
      <w:rPr>
        <w:rFonts w:ascii="Arial" w:hAnsi="Arial"/>
        <w:color w:val="F2F2F2"/>
        <w:sz w:val="22"/>
      </w:rPr>
      <w:tblPr/>
      <w:tcPr>
        <w:shd w:val="clear" w:color="A5A5A5"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fill="ECECEC" w:themeFill="accent3" w:themeFillTint="34"/>
      </w:tcPr>
    </w:tblStylePr>
  </w:style>
  <w:style w:type="table" w:customStyle="1" w:styleId="Lined-Accent4">
    <w:name w:val="Lined - Accent 4"/>
    <w:basedOn w:val="TableNormal"/>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FFD865" w:fill="FFD865" w:themeFill="accent4" w:themeFillTint="9A"/>
      </w:tcPr>
    </w:tblStylePr>
    <w:tblStylePr w:type="lastRow">
      <w:rPr>
        <w:rFonts w:ascii="Arial" w:hAnsi="Arial"/>
        <w:color w:val="F2F2F2"/>
        <w:sz w:val="22"/>
      </w:rPr>
      <w:tblPr/>
      <w:tcPr>
        <w:shd w:val="clear" w:color="FFD865" w:fill="FFD865" w:themeFill="accent4" w:themeFillTint="9A"/>
      </w:tcPr>
    </w:tblStylePr>
    <w:tblStylePr w:type="firstCol">
      <w:rPr>
        <w:rFonts w:ascii="Arial" w:hAnsi="Arial"/>
        <w:color w:val="F2F2F2"/>
        <w:sz w:val="22"/>
      </w:rPr>
      <w:tblPr/>
      <w:tcPr>
        <w:shd w:val="clear" w:color="FFD865" w:fill="FFD865" w:themeFill="accent4" w:themeFillTint="9A"/>
      </w:tcPr>
    </w:tblStylePr>
    <w:tblStylePr w:type="lastCol">
      <w:rPr>
        <w:rFonts w:ascii="Arial" w:hAnsi="Arial"/>
        <w:color w:val="F2F2F2"/>
        <w:sz w:val="22"/>
      </w:rPr>
      <w:tblPr/>
      <w:tcPr>
        <w:shd w:val="clear" w:color="FFD865"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fill="FFF2CB" w:themeFill="accent4" w:themeFillTint="34"/>
      </w:tcPr>
    </w:tblStylePr>
  </w:style>
  <w:style w:type="table" w:customStyle="1" w:styleId="Lined-Accent5">
    <w:name w:val="Lined - Accent 5"/>
    <w:basedOn w:val="TableNormal"/>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4472C4" w:fill="4472C4" w:themeFill="accent5"/>
      </w:tcPr>
    </w:tblStylePr>
    <w:tblStylePr w:type="lastRow">
      <w:rPr>
        <w:rFonts w:ascii="Arial" w:hAnsi="Arial"/>
        <w:color w:val="F2F2F2"/>
        <w:sz w:val="22"/>
      </w:rPr>
      <w:tblPr/>
      <w:tcPr>
        <w:shd w:val="clear" w:color="4472C4" w:fill="4472C4" w:themeFill="accent5"/>
      </w:tcPr>
    </w:tblStylePr>
    <w:tblStylePr w:type="firstCol">
      <w:rPr>
        <w:rFonts w:ascii="Arial" w:hAnsi="Arial"/>
        <w:color w:val="F2F2F2"/>
        <w:sz w:val="22"/>
      </w:rPr>
      <w:tblPr/>
      <w:tcPr>
        <w:shd w:val="clear" w:color="4472C4" w:fill="4472C4" w:themeFill="accent5"/>
      </w:tcPr>
    </w:tblStylePr>
    <w:tblStylePr w:type="lastCol">
      <w:rPr>
        <w:rFonts w:ascii="Arial" w:hAnsi="Arial"/>
        <w:color w:val="F2F2F2"/>
        <w:sz w:val="22"/>
      </w:rPr>
      <w:tblPr/>
      <w:tcPr>
        <w:shd w:val="clear" w:color="4472C4"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fill="D8E2F3" w:themeFill="accent5" w:themeFillTint="34"/>
      </w:tcPr>
    </w:tblStylePr>
  </w:style>
  <w:style w:type="table" w:customStyle="1" w:styleId="Lined-Accent6">
    <w:name w:val="Lined - Accent 6"/>
    <w:basedOn w:val="TableNormal"/>
    <w:uiPriority w:val="99"/>
    <w:pPr>
      <w:spacing w:after="0" w:line="240" w:lineRule="auto"/>
    </w:pPr>
    <w:rPr>
      <w:color w:val="404040"/>
      <w:sz w:val="20"/>
      <w:szCs w:val="20"/>
    </w:rPr>
    <w:tblPr>
      <w:tblStyleRowBandSize w:val="1"/>
      <w:tblStyleColBandSize w:val="1"/>
    </w:tblPr>
    <w:tblStylePr w:type="firstRow">
      <w:rPr>
        <w:rFonts w:ascii="Arial" w:hAnsi="Arial"/>
        <w:color w:val="F2F2F2"/>
        <w:sz w:val="22"/>
      </w:rPr>
      <w:tblPr/>
      <w:tcPr>
        <w:shd w:val="clear" w:color="70AD47" w:fill="70AD47" w:themeFill="accent6"/>
      </w:tcPr>
    </w:tblStylePr>
    <w:tblStylePr w:type="lastRow">
      <w:rPr>
        <w:rFonts w:ascii="Arial" w:hAnsi="Arial"/>
        <w:color w:val="F2F2F2"/>
        <w:sz w:val="22"/>
      </w:rPr>
      <w:tblPr/>
      <w:tcPr>
        <w:shd w:val="clear" w:color="70AD47" w:fill="70AD47" w:themeFill="accent6"/>
      </w:tcPr>
    </w:tblStylePr>
    <w:tblStylePr w:type="firstCol">
      <w:rPr>
        <w:rFonts w:ascii="Arial" w:hAnsi="Arial"/>
        <w:color w:val="F2F2F2"/>
        <w:sz w:val="22"/>
      </w:rPr>
      <w:tblPr/>
      <w:tcPr>
        <w:shd w:val="clear" w:color="70AD47" w:fill="70AD47" w:themeFill="accent6"/>
      </w:tcPr>
    </w:tblStylePr>
    <w:tblStylePr w:type="lastCol">
      <w:rPr>
        <w:rFonts w:ascii="Arial" w:hAnsi="Arial"/>
        <w:color w:val="F2F2F2"/>
        <w:sz w:val="22"/>
      </w:rPr>
      <w:tblPr/>
      <w:tcPr>
        <w:shd w:val="clear" w:color="70AD47"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fill="E1EFD8" w:themeFill="accent6" w:themeFillTint="34"/>
      </w:tcPr>
    </w:tblStylePr>
  </w:style>
  <w:style w:type="table" w:customStyle="1" w:styleId="BorderedLined-Accent">
    <w:name w:val="Bordered &amp; Lined - Accent"/>
    <w:basedOn w:val="TableNormal"/>
    <w:uiPriority w:val="99"/>
    <w:pPr>
      <w:spacing w:after="0" w:line="240" w:lineRule="auto"/>
    </w:pPr>
    <w:rPr>
      <w:color w:val="404040"/>
      <w:sz w:val="20"/>
      <w:szCs w:val="20"/>
    </w:rPr>
    <w:tblPr>
      <w:tblStyleRowBandSize w:val="1"/>
      <w:tblStyleColBandSize w:val="1"/>
      <w:tblBorders>
        <w:top w:val="single" w:sz="4" w:space="0" w:color="595959" w:themeColor="text1" w:themeTint="A6"/>
        <w:left w:val="single" w:sz="4" w:space="0" w:color="595959" w:themeColor="text1" w:themeTint="A6"/>
        <w:bottom w:val="single" w:sz="4" w:space="0" w:color="595959" w:themeColor="text1" w:themeTint="A6"/>
        <w:right w:val="single" w:sz="4" w:space="0" w:color="595959" w:themeColor="text1" w:themeTint="A6"/>
        <w:insideH w:val="single" w:sz="4" w:space="0" w:color="595959" w:themeColor="text1" w:themeTint="A6"/>
        <w:insideV w:val="single" w:sz="4" w:space="0" w:color="595959" w:themeColor="text1" w:themeTint="A6"/>
      </w:tblBorders>
    </w:tblPr>
    <w:tblStylePr w:type="firstRow">
      <w:rPr>
        <w:rFonts w:ascii="Arial" w:hAnsi="Arial"/>
        <w:color w:val="F2F2F2"/>
        <w:sz w:val="22"/>
      </w:rPr>
      <w:tblPr/>
      <w:tcPr>
        <w:shd w:val="clear" w:color="7F7F7F" w:fill="7F7F7F" w:themeFill="text1" w:themeFillTint="80"/>
      </w:tcPr>
    </w:tblStylePr>
    <w:tblStylePr w:type="lastRow">
      <w:rPr>
        <w:rFonts w:ascii="Arial" w:hAnsi="Arial"/>
        <w:color w:val="F2F2F2"/>
        <w:sz w:val="22"/>
      </w:rPr>
      <w:tblPr/>
      <w:tcPr>
        <w:shd w:val="clear" w:color="7F7F7F" w:fill="7F7F7F" w:themeFill="text1" w:themeFillTint="80"/>
      </w:tcPr>
    </w:tblStylePr>
    <w:tblStylePr w:type="firstCol">
      <w:rPr>
        <w:rFonts w:ascii="Arial" w:hAnsi="Arial"/>
        <w:color w:val="F2F2F2"/>
        <w:sz w:val="22"/>
      </w:rPr>
      <w:tblPr/>
      <w:tcPr>
        <w:shd w:val="clear" w:color="7F7F7F" w:fill="7F7F7F" w:themeFill="text1" w:themeFillTint="80"/>
      </w:tcPr>
    </w:tblStylePr>
    <w:tblStylePr w:type="lastCol">
      <w:rPr>
        <w:rFonts w:ascii="Arial" w:hAnsi="Arial"/>
        <w:color w:val="F2F2F2"/>
        <w:sz w:val="22"/>
      </w:rPr>
      <w:tblPr/>
      <w:tcPr>
        <w:shd w:val="clear" w:color="7F7F7F" w:fill="7F7F7F" w:themeFill="text1" w:themeFillTint="80"/>
      </w:tcPr>
    </w:tblStylePr>
    <w:tblStylePr w:type="band1Vert">
      <w:rPr>
        <w:rFonts w:ascii="Arial" w:hAnsi="Arial"/>
        <w:color w:val="404040"/>
        <w:sz w:val="22"/>
      </w:rPr>
    </w:tblStylePr>
    <w:tblStylePr w:type="band2Vert">
      <w:rPr>
        <w:rFonts w:ascii="Arial" w:hAnsi="Arial"/>
        <w:color w:val="404040"/>
        <w:sz w:val="22"/>
      </w:rPr>
      <w:tblPr/>
      <w:tcPr>
        <w:shd w:val="clear" w:color="F2F2F2" w:fill="F2F2F2" w:themeFill="text1" w:themeFillTint="0D"/>
      </w:tcPr>
    </w:tblStylePr>
    <w:tblStylePr w:type="band1Horz">
      <w:rPr>
        <w:rFonts w:ascii="Arial" w:hAnsi="Arial"/>
        <w:color w:val="404040"/>
        <w:sz w:val="22"/>
      </w:rPr>
    </w:tblStylePr>
    <w:tblStylePr w:type="band2Horz">
      <w:rPr>
        <w:rFonts w:ascii="Arial" w:hAnsi="Arial"/>
        <w:color w:val="404040"/>
        <w:sz w:val="22"/>
      </w:rPr>
      <w:tblPr/>
      <w:tcPr>
        <w:shd w:val="clear" w:color="F2F2F2" w:fill="F2F2F2" w:themeFill="text1" w:themeFillTint="0D"/>
      </w:tcPr>
    </w:tblStylePr>
  </w:style>
  <w:style w:type="table" w:customStyle="1" w:styleId="BorderedLined-Accent1">
    <w:name w:val="Bordered &amp; Lined - Accent 1"/>
    <w:basedOn w:val="TableNormal"/>
    <w:uiPriority w:val="99"/>
    <w:pPr>
      <w:spacing w:after="0" w:line="240" w:lineRule="auto"/>
    </w:pPr>
    <w:rPr>
      <w:color w:val="404040"/>
      <w:sz w:val="20"/>
      <w:szCs w:val="20"/>
    </w:rPr>
    <w:tblPr>
      <w:tblStyleRowBandSize w:val="1"/>
      <w:tblStyleColBandSize w:val="1"/>
      <w:tblBorders>
        <w:top w:val="single" w:sz="4" w:space="0" w:color="245A8D" w:themeColor="accent1" w:themeShade="95"/>
        <w:left w:val="single" w:sz="4" w:space="0" w:color="245A8D" w:themeColor="accent1" w:themeShade="95"/>
        <w:bottom w:val="single" w:sz="4" w:space="0" w:color="245A8D" w:themeColor="accent1" w:themeShade="95"/>
        <w:right w:val="single" w:sz="4" w:space="0" w:color="245A8D" w:themeColor="accent1" w:themeShade="95"/>
        <w:insideH w:val="single" w:sz="4" w:space="0" w:color="245A8D" w:themeColor="accent1" w:themeShade="95"/>
        <w:insideV w:val="single" w:sz="4" w:space="0" w:color="245A8D" w:themeColor="accent1" w:themeShade="95"/>
      </w:tblBorders>
    </w:tblPr>
    <w:tblStylePr w:type="firstRow">
      <w:rPr>
        <w:rFonts w:ascii="Arial" w:hAnsi="Arial"/>
        <w:color w:val="F2F2F2"/>
        <w:sz w:val="22"/>
      </w:rPr>
      <w:tblPr/>
      <w:tcPr>
        <w:shd w:val="clear" w:color="68A2D8" w:fill="68A2D8" w:themeFill="accent1" w:themeFillTint="EA"/>
      </w:tcPr>
    </w:tblStylePr>
    <w:tblStylePr w:type="lastRow">
      <w:rPr>
        <w:rFonts w:ascii="Arial" w:hAnsi="Arial"/>
        <w:color w:val="F2F2F2"/>
        <w:sz w:val="22"/>
      </w:rPr>
      <w:tblPr/>
      <w:tcPr>
        <w:shd w:val="clear" w:color="68A2D8" w:fill="68A2D8" w:themeFill="accent1" w:themeFillTint="EA"/>
      </w:tcPr>
    </w:tblStylePr>
    <w:tblStylePr w:type="firstCol">
      <w:rPr>
        <w:rFonts w:ascii="Arial" w:hAnsi="Arial"/>
        <w:color w:val="F2F2F2"/>
        <w:sz w:val="22"/>
      </w:rPr>
      <w:tblPr/>
      <w:tcPr>
        <w:shd w:val="clear" w:color="68A2D8" w:fill="68A2D8" w:themeFill="accent1" w:themeFillTint="EA"/>
      </w:tcPr>
    </w:tblStylePr>
    <w:tblStylePr w:type="lastCol">
      <w:rPr>
        <w:rFonts w:ascii="Arial" w:hAnsi="Arial"/>
        <w:color w:val="F2F2F2"/>
        <w:sz w:val="22"/>
      </w:rPr>
      <w:tblPr/>
      <w:tcPr>
        <w:shd w:val="clear" w:color="68A2D8" w:fill="68A2D8" w:themeFill="accent1" w:themeFillTint="EA"/>
      </w:tcPr>
    </w:tblStylePr>
    <w:tblStylePr w:type="band1Vert">
      <w:rPr>
        <w:rFonts w:ascii="Arial" w:hAnsi="Arial"/>
        <w:color w:val="404040"/>
        <w:sz w:val="22"/>
      </w:rPr>
    </w:tblStylePr>
    <w:tblStylePr w:type="band2Vert">
      <w:rPr>
        <w:rFonts w:ascii="Arial" w:hAnsi="Arial"/>
        <w:color w:val="404040"/>
        <w:sz w:val="22"/>
      </w:rPr>
      <w:tblPr/>
      <w:tcPr>
        <w:shd w:val="clear" w:color="CBDFF1" w:fill="CBDFF1" w:themeFill="accent1" w:themeFillTint="50"/>
      </w:tcPr>
    </w:tblStylePr>
    <w:tblStylePr w:type="band1Horz">
      <w:rPr>
        <w:rFonts w:ascii="Arial" w:hAnsi="Arial"/>
        <w:color w:val="404040"/>
        <w:sz w:val="22"/>
      </w:rPr>
    </w:tblStylePr>
    <w:tblStylePr w:type="band2Horz">
      <w:rPr>
        <w:rFonts w:ascii="Arial" w:hAnsi="Arial"/>
        <w:color w:val="404040"/>
        <w:sz w:val="22"/>
      </w:rPr>
      <w:tblPr/>
      <w:tcPr>
        <w:shd w:val="clear" w:color="CBDFF1" w:fill="CBDFF1" w:themeFill="accent1" w:themeFillTint="50"/>
      </w:tcPr>
    </w:tblStylePr>
  </w:style>
  <w:style w:type="table" w:customStyle="1" w:styleId="BorderedLined-Accent2">
    <w:name w:val="Bordered &amp; Lined - Accent 2"/>
    <w:basedOn w:val="TableNormal"/>
    <w:uiPriority w:val="99"/>
    <w:pPr>
      <w:spacing w:after="0" w:line="240" w:lineRule="auto"/>
    </w:pPr>
    <w:rPr>
      <w:color w:val="404040"/>
      <w:sz w:val="20"/>
      <w:szCs w:val="20"/>
    </w:rPr>
    <w:tblPr>
      <w:tblStyleRowBandSize w:val="1"/>
      <w:tblStyleColBandSize w:val="1"/>
      <w:tblBorders>
        <w:top w:val="single" w:sz="4" w:space="0" w:color="99460D" w:themeColor="accent2" w:themeShade="95"/>
        <w:left w:val="single" w:sz="4" w:space="0" w:color="99460D" w:themeColor="accent2" w:themeShade="95"/>
        <w:bottom w:val="single" w:sz="4" w:space="0" w:color="99460D" w:themeColor="accent2" w:themeShade="95"/>
        <w:right w:val="single" w:sz="4" w:space="0" w:color="99460D" w:themeColor="accent2" w:themeShade="95"/>
        <w:insideH w:val="single" w:sz="4" w:space="0" w:color="99460D" w:themeColor="accent2" w:themeShade="95"/>
        <w:insideV w:val="single" w:sz="4" w:space="0" w:color="99460D" w:themeColor="accent2" w:themeShade="95"/>
      </w:tblBorders>
    </w:tblPr>
    <w:tblStylePr w:type="firstRow">
      <w:rPr>
        <w:rFonts w:ascii="Arial" w:hAnsi="Arial"/>
        <w:color w:val="F2F2F2"/>
        <w:sz w:val="22"/>
      </w:rPr>
      <w:tblPr/>
      <w:tcPr>
        <w:shd w:val="clear" w:color="F4B184" w:fill="F4B184" w:themeFill="accent2" w:themeFillTint="97"/>
      </w:tcPr>
    </w:tblStylePr>
    <w:tblStylePr w:type="lastRow">
      <w:rPr>
        <w:rFonts w:ascii="Arial" w:hAnsi="Arial"/>
        <w:color w:val="F2F2F2"/>
        <w:sz w:val="22"/>
      </w:rPr>
      <w:tblPr/>
      <w:tcPr>
        <w:shd w:val="clear" w:color="F4B184" w:fill="F4B184" w:themeFill="accent2" w:themeFillTint="97"/>
      </w:tcPr>
    </w:tblStylePr>
    <w:tblStylePr w:type="firstCol">
      <w:rPr>
        <w:rFonts w:ascii="Arial" w:hAnsi="Arial"/>
        <w:color w:val="F2F2F2"/>
        <w:sz w:val="22"/>
      </w:rPr>
      <w:tblPr/>
      <w:tcPr>
        <w:shd w:val="clear" w:color="F4B184" w:fill="F4B184" w:themeFill="accent2" w:themeFillTint="97"/>
      </w:tcPr>
    </w:tblStylePr>
    <w:tblStylePr w:type="lastCol">
      <w:rPr>
        <w:rFonts w:ascii="Arial" w:hAnsi="Arial"/>
        <w:color w:val="F2F2F2"/>
        <w:sz w:val="22"/>
      </w:rPr>
      <w:tblPr/>
      <w:tcPr>
        <w:shd w:val="clear" w:color="F4B184" w:fill="F4B184" w:themeFill="accent2" w:themeFillTint="97"/>
      </w:tcPr>
    </w:tblStylePr>
    <w:tblStylePr w:type="band1Vert">
      <w:rPr>
        <w:rFonts w:ascii="Arial" w:hAnsi="Arial"/>
        <w:color w:val="404040"/>
        <w:sz w:val="22"/>
      </w:rPr>
    </w:tblStylePr>
    <w:tblStylePr w:type="band2Vert">
      <w:rPr>
        <w:rFonts w:ascii="Arial" w:hAnsi="Arial"/>
        <w:color w:val="404040"/>
        <w:sz w:val="22"/>
      </w:rPr>
      <w:tblPr/>
      <w:tcPr>
        <w:shd w:val="clear" w:color="FBE5D6" w:fill="FBE5D6" w:themeFill="accent2" w:themeFillTint="32"/>
      </w:tcPr>
    </w:tblStylePr>
    <w:tblStylePr w:type="band1Horz">
      <w:rPr>
        <w:rFonts w:ascii="Arial" w:hAnsi="Arial"/>
        <w:color w:val="404040"/>
        <w:sz w:val="22"/>
      </w:rPr>
    </w:tblStylePr>
    <w:tblStylePr w:type="band2Horz">
      <w:rPr>
        <w:rFonts w:ascii="Arial" w:hAnsi="Arial"/>
        <w:color w:val="404040"/>
        <w:sz w:val="22"/>
      </w:rPr>
      <w:tblPr/>
      <w:tcPr>
        <w:shd w:val="clear" w:color="FBE5D6" w:fill="FBE5D6" w:themeFill="accent2" w:themeFillTint="32"/>
      </w:tcPr>
    </w:tblStylePr>
  </w:style>
  <w:style w:type="table" w:customStyle="1" w:styleId="BorderedLined-Accent3">
    <w:name w:val="Bordered &amp; Lined - Accent 3"/>
    <w:basedOn w:val="TableNormal"/>
    <w:uiPriority w:val="99"/>
    <w:pPr>
      <w:spacing w:after="0" w:line="240" w:lineRule="auto"/>
    </w:pPr>
    <w:rPr>
      <w:color w:val="404040"/>
      <w:sz w:val="20"/>
      <w:szCs w:val="20"/>
    </w:rPr>
    <w:tblPr>
      <w:tblStyleRowBandSize w:val="1"/>
      <w:tblStyleColBandSize w:val="1"/>
      <w:tblBorders>
        <w:top w:val="single" w:sz="4" w:space="0" w:color="606060" w:themeColor="accent3" w:themeShade="95"/>
        <w:left w:val="single" w:sz="4" w:space="0" w:color="606060" w:themeColor="accent3" w:themeShade="95"/>
        <w:bottom w:val="single" w:sz="4" w:space="0" w:color="606060" w:themeColor="accent3" w:themeShade="95"/>
        <w:right w:val="single" w:sz="4" w:space="0" w:color="606060" w:themeColor="accent3" w:themeShade="95"/>
        <w:insideH w:val="single" w:sz="4" w:space="0" w:color="606060" w:themeColor="accent3" w:themeShade="95"/>
        <w:insideV w:val="single" w:sz="4" w:space="0" w:color="606060" w:themeColor="accent3" w:themeShade="95"/>
      </w:tblBorders>
    </w:tblPr>
    <w:tblStylePr w:type="firstRow">
      <w:rPr>
        <w:rFonts w:ascii="Arial" w:hAnsi="Arial"/>
        <w:color w:val="F2F2F2"/>
        <w:sz w:val="22"/>
      </w:rPr>
      <w:tblPr/>
      <w:tcPr>
        <w:shd w:val="clear" w:color="A5A5A5" w:fill="A5A5A5" w:themeFill="accent3" w:themeFillTint="FE"/>
      </w:tcPr>
    </w:tblStylePr>
    <w:tblStylePr w:type="lastRow">
      <w:rPr>
        <w:rFonts w:ascii="Arial" w:hAnsi="Arial"/>
        <w:color w:val="F2F2F2"/>
        <w:sz w:val="22"/>
      </w:rPr>
      <w:tblPr/>
      <w:tcPr>
        <w:shd w:val="clear" w:color="A5A5A5" w:fill="A5A5A5" w:themeFill="accent3" w:themeFillTint="FE"/>
      </w:tcPr>
    </w:tblStylePr>
    <w:tblStylePr w:type="firstCol">
      <w:rPr>
        <w:rFonts w:ascii="Arial" w:hAnsi="Arial"/>
        <w:color w:val="F2F2F2"/>
        <w:sz w:val="22"/>
      </w:rPr>
      <w:tblPr/>
      <w:tcPr>
        <w:shd w:val="clear" w:color="A5A5A5" w:fill="A5A5A5" w:themeFill="accent3" w:themeFillTint="FE"/>
      </w:tcPr>
    </w:tblStylePr>
    <w:tblStylePr w:type="lastCol">
      <w:rPr>
        <w:rFonts w:ascii="Arial" w:hAnsi="Arial"/>
        <w:color w:val="F2F2F2"/>
        <w:sz w:val="22"/>
      </w:rPr>
      <w:tblPr/>
      <w:tcPr>
        <w:shd w:val="clear" w:color="A5A5A5" w:fill="A5A5A5" w:themeFill="accent3" w:themeFillTint="FE"/>
      </w:tcPr>
    </w:tblStylePr>
    <w:tblStylePr w:type="band1Vert">
      <w:rPr>
        <w:rFonts w:ascii="Arial" w:hAnsi="Arial"/>
        <w:color w:val="404040"/>
        <w:sz w:val="22"/>
      </w:rPr>
    </w:tblStylePr>
    <w:tblStylePr w:type="band2Vert">
      <w:rPr>
        <w:rFonts w:ascii="Arial" w:hAnsi="Arial"/>
        <w:color w:val="404040"/>
        <w:sz w:val="22"/>
      </w:rPr>
      <w:tblPr/>
      <w:tcPr>
        <w:shd w:val="clear" w:color="ECECEC" w:fill="ECECEC" w:themeFill="accent3" w:themeFillTint="34"/>
      </w:tcPr>
    </w:tblStylePr>
    <w:tblStylePr w:type="band1Horz">
      <w:rPr>
        <w:rFonts w:ascii="Arial" w:hAnsi="Arial"/>
        <w:color w:val="404040"/>
        <w:sz w:val="22"/>
      </w:rPr>
    </w:tblStylePr>
    <w:tblStylePr w:type="band2Horz">
      <w:rPr>
        <w:rFonts w:ascii="Arial" w:hAnsi="Arial"/>
        <w:color w:val="404040"/>
        <w:sz w:val="22"/>
      </w:rPr>
      <w:tblPr/>
      <w:tcPr>
        <w:shd w:val="clear" w:color="ECECEC" w:fill="ECECEC" w:themeFill="accent3" w:themeFillTint="34"/>
      </w:tcPr>
    </w:tblStylePr>
  </w:style>
  <w:style w:type="table" w:customStyle="1" w:styleId="BorderedLined-Accent4">
    <w:name w:val="Bordered &amp; Lined - Accent 4"/>
    <w:basedOn w:val="TableNormal"/>
    <w:uiPriority w:val="99"/>
    <w:pPr>
      <w:spacing w:after="0" w:line="240" w:lineRule="auto"/>
    </w:pPr>
    <w:rPr>
      <w:color w:val="404040"/>
      <w:sz w:val="20"/>
      <w:szCs w:val="20"/>
    </w:rPr>
    <w:tblPr>
      <w:tblStyleRowBandSize w:val="1"/>
      <w:tblStyleColBandSize w:val="1"/>
      <w:tblBorders>
        <w:top w:val="single" w:sz="4" w:space="0" w:color="957000" w:themeColor="accent4" w:themeShade="95"/>
        <w:left w:val="single" w:sz="4" w:space="0" w:color="957000" w:themeColor="accent4" w:themeShade="95"/>
        <w:bottom w:val="single" w:sz="4" w:space="0" w:color="957000" w:themeColor="accent4" w:themeShade="95"/>
        <w:right w:val="single" w:sz="4" w:space="0" w:color="957000" w:themeColor="accent4" w:themeShade="95"/>
        <w:insideH w:val="single" w:sz="4" w:space="0" w:color="957000" w:themeColor="accent4" w:themeShade="95"/>
        <w:insideV w:val="single" w:sz="4" w:space="0" w:color="957000" w:themeColor="accent4" w:themeShade="95"/>
      </w:tblBorders>
    </w:tblPr>
    <w:tblStylePr w:type="firstRow">
      <w:rPr>
        <w:rFonts w:ascii="Arial" w:hAnsi="Arial"/>
        <w:color w:val="F2F2F2"/>
        <w:sz w:val="22"/>
      </w:rPr>
      <w:tblPr/>
      <w:tcPr>
        <w:shd w:val="clear" w:color="FFD865" w:fill="FFD865" w:themeFill="accent4" w:themeFillTint="9A"/>
      </w:tcPr>
    </w:tblStylePr>
    <w:tblStylePr w:type="lastRow">
      <w:rPr>
        <w:rFonts w:ascii="Arial" w:hAnsi="Arial"/>
        <w:color w:val="F2F2F2"/>
        <w:sz w:val="22"/>
      </w:rPr>
      <w:tblPr/>
      <w:tcPr>
        <w:shd w:val="clear" w:color="FFD865" w:fill="FFD865" w:themeFill="accent4" w:themeFillTint="9A"/>
      </w:tcPr>
    </w:tblStylePr>
    <w:tblStylePr w:type="firstCol">
      <w:rPr>
        <w:rFonts w:ascii="Arial" w:hAnsi="Arial"/>
        <w:color w:val="F2F2F2"/>
        <w:sz w:val="22"/>
      </w:rPr>
      <w:tblPr/>
      <w:tcPr>
        <w:shd w:val="clear" w:color="FFD865" w:fill="FFD865" w:themeFill="accent4" w:themeFillTint="9A"/>
      </w:tcPr>
    </w:tblStylePr>
    <w:tblStylePr w:type="lastCol">
      <w:rPr>
        <w:rFonts w:ascii="Arial" w:hAnsi="Arial"/>
        <w:color w:val="F2F2F2"/>
        <w:sz w:val="22"/>
      </w:rPr>
      <w:tblPr/>
      <w:tcPr>
        <w:shd w:val="clear" w:color="FFD865" w:fill="FFD865" w:themeFill="accent4" w:themeFillTint="9A"/>
      </w:tcPr>
    </w:tblStylePr>
    <w:tblStylePr w:type="band1Vert">
      <w:rPr>
        <w:rFonts w:ascii="Arial" w:hAnsi="Arial"/>
        <w:color w:val="404040"/>
        <w:sz w:val="22"/>
      </w:rPr>
    </w:tblStylePr>
    <w:tblStylePr w:type="band2Vert">
      <w:rPr>
        <w:rFonts w:ascii="Arial" w:hAnsi="Arial"/>
        <w:color w:val="404040"/>
        <w:sz w:val="22"/>
      </w:rPr>
      <w:tblPr/>
      <w:tcPr>
        <w:shd w:val="clear" w:color="FFF2CB" w:fill="FFF2CB" w:themeFill="accent4" w:themeFillTint="34"/>
      </w:tcPr>
    </w:tblStylePr>
    <w:tblStylePr w:type="band1Horz">
      <w:rPr>
        <w:rFonts w:ascii="Arial" w:hAnsi="Arial"/>
        <w:color w:val="404040"/>
        <w:sz w:val="22"/>
      </w:rPr>
    </w:tblStylePr>
    <w:tblStylePr w:type="band2Horz">
      <w:rPr>
        <w:rFonts w:ascii="Arial" w:hAnsi="Arial"/>
        <w:color w:val="404040"/>
        <w:sz w:val="22"/>
      </w:rPr>
      <w:tblPr/>
      <w:tcPr>
        <w:shd w:val="clear" w:color="FFF2CB" w:fill="FFF2CB" w:themeFill="accent4" w:themeFillTint="34"/>
      </w:tcPr>
    </w:tblStylePr>
  </w:style>
  <w:style w:type="table" w:customStyle="1" w:styleId="BorderedLined-Accent5">
    <w:name w:val="Bordered &amp; Lined - Accent 5"/>
    <w:basedOn w:val="TableNormal"/>
    <w:uiPriority w:val="99"/>
    <w:pPr>
      <w:spacing w:after="0" w:line="240" w:lineRule="auto"/>
    </w:pPr>
    <w:rPr>
      <w:color w:val="404040"/>
      <w:sz w:val="20"/>
      <w:szCs w:val="20"/>
    </w:rPr>
    <w:tblPr>
      <w:tblStyleRowBandSize w:val="1"/>
      <w:tblStyleColBandSize w:val="1"/>
      <w:tblBorders>
        <w:top w:val="single" w:sz="4" w:space="0" w:color="254175" w:themeColor="accent5" w:themeShade="95"/>
        <w:left w:val="single" w:sz="4" w:space="0" w:color="254175" w:themeColor="accent5" w:themeShade="95"/>
        <w:bottom w:val="single" w:sz="4" w:space="0" w:color="254175" w:themeColor="accent5" w:themeShade="95"/>
        <w:right w:val="single" w:sz="4" w:space="0" w:color="254175" w:themeColor="accent5" w:themeShade="95"/>
        <w:insideH w:val="single" w:sz="4" w:space="0" w:color="254175" w:themeColor="accent5" w:themeShade="95"/>
        <w:insideV w:val="single" w:sz="4" w:space="0" w:color="254175" w:themeColor="accent5" w:themeShade="95"/>
      </w:tblBorders>
    </w:tblPr>
    <w:tblStylePr w:type="firstRow">
      <w:rPr>
        <w:rFonts w:ascii="Arial" w:hAnsi="Arial"/>
        <w:color w:val="F2F2F2"/>
        <w:sz w:val="22"/>
      </w:rPr>
      <w:tblPr/>
      <w:tcPr>
        <w:shd w:val="clear" w:color="4472C4" w:fill="4472C4" w:themeFill="accent5"/>
      </w:tcPr>
    </w:tblStylePr>
    <w:tblStylePr w:type="lastRow">
      <w:rPr>
        <w:rFonts w:ascii="Arial" w:hAnsi="Arial"/>
        <w:color w:val="F2F2F2"/>
        <w:sz w:val="22"/>
      </w:rPr>
      <w:tblPr/>
      <w:tcPr>
        <w:shd w:val="clear" w:color="4472C4" w:fill="4472C4" w:themeFill="accent5"/>
      </w:tcPr>
    </w:tblStylePr>
    <w:tblStylePr w:type="firstCol">
      <w:rPr>
        <w:rFonts w:ascii="Arial" w:hAnsi="Arial"/>
        <w:color w:val="F2F2F2"/>
        <w:sz w:val="22"/>
      </w:rPr>
      <w:tblPr/>
      <w:tcPr>
        <w:shd w:val="clear" w:color="4472C4" w:fill="4472C4" w:themeFill="accent5"/>
      </w:tcPr>
    </w:tblStylePr>
    <w:tblStylePr w:type="lastCol">
      <w:rPr>
        <w:rFonts w:ascii="Arial" w:hAnsi="Arial"/>
        <w:color w:val="F2F2F2"/>
        <w:sz w:val="22"/>
      </w:rPr>
      <w:tblPr/>
      <w:tcPr>
        <w:shd w:val="clear" w:color="4472C4" w:fill="4472C4" w:themeFill="accent5"/>
      </w:tcPr>
    </w:tblStylePr>
    <w:tblStylePr w:type="band1Vert">
      <w:rPr>
        <w:rFonts w:ascii="Arial" w:hAnsi="Arial"/>
        <w:color w:val="404040"/>
        <w:sz w:val="22"/>
      </w:rPr>
    </w:tblStylePr>
    <w:tblStylePr w:type="band2Vert">
      <w:rPr>
        <w:rFonts w:ascii="Arial" w:hAnsi="Arial"/>
        <w:color w:val="404040"/>
        <w:sz w:val="22"/>
      </w:rPr>
      <w:tblPr/>
      <w:tcPr>
        <w:shd w:val="clear" w:color="D8E2F3" w:fill="D8E2F3" w:themeFill="accent5" w:themeFillTint="34"/>
      </w:tcPr>
    </w:tblStylePr>
    <w:tblStylePr w:type="band1Horz">
      <w:rPr>
        <w:rFonts w:ascii="Arial" w:hAnsi="Arial"/>
        <w:color w:val="404040"/>
        <w:sz w:val="22"/>
      </w:rPr>
    </w:tblStylePr>
    <w:tblStylePr w:type="band2Horz">
      <w:rPr>
        <w:rFonts w:ascii="Arial" w:hAnsi="Arial"/>
        <w:color w:val="404040"/>
        <w:sz w:val="22"/>
      </w:rPr>
      <w:tblPr/>
      <w:tcPr>
        <w:shd w:val="clear" w:color="D8E2F3" w:fill="D8E2F3" w:themeFill="accent5" w:themeFillTint="34"/>
      </w:tcPr>
    </w:tblStylePr>
  </w:style>
  <w:style w:type="table" w:customStyle="1" w:styleId="BorderedLined-Accent6">
    <w:name w:val="Bordered &amp; Lined - Accent 6"/>
    <w:basedOn w:val="TableNormal"/>
    <w:uiPriority w:val="99"/>
    <w:pPr>
      <w:spacing w:after="0" w:line="240" w:lineRule="auto"/>
    </w:pPr>
    <w:rPr>
      <w:color w:val="404040"/>
      <w:sz w:val="20"/>
      <w:szCs w:val="20"/>
    </w:rPr>
    <w:tblPr>
      <w:tblStyleRowBandSize w:val="1"/>
      <w:tblStyleColBandSize w:val="1"/>
      <w:tblBorders>
        <w:top w:val="single" w:sz="4" w:space="0" w:color="416429" w:themeColor="accent6" w:themeShade="95"/>
        <w:left w:val="single" w:sz="4" w:space="0" w:color="416429" w:themeColor="accent6" w:themeShade="95"/>
        <w:bottom w:val="single" w:sz="4" w:space="0" w:color="416429" w:themeColor="accent6" w:themeShade="95"/>
        <w:right w:val="single" w:sz="4" w:space="0" w:color="416429" w:themeColor="accent6" w:themeShade="95"/>
        <w:insideH w:val="single" w:sz="4" w:space="0" w:color="416429" w:themeColor="accent6" w:themeShade="95"/>
        <w:insideV w:val="single" w:sz="4" w:space="0" w:color="416429" w:themeColor="accent6" w:themeShade="95"/>
      </w:tblBorders>
    </w:tblPr>
    <w:tblStylePr w:type="firstRow">
      <w:rPr>
        <w:rFonts w:ascii="Arial" w:hAnsi="Arial"/>
        <w:color w:val="F2F2F2"/>
        <w:sz w:val="22"/>
      </w:rPr>
      <w:tblPr/>
      <w:tcPr>
        <w:shd w:val="clear" w:color="70AD47" w:fill="70AD47" w:themeFill="accent6"/>
      </w:tcPr>
    </w:tblStylePr>
    <w:tblStylePr w:type="lastRow">
      <w:rPr>
        <w:rFonts w:ascii="Arial" w:hAnsi="Arial"/>
        <w:color w:val="F2F2F2"/>
        <w:sz w:val="22"/>
      </w:rPr>
      <w:tblPr/>
      <w:tcPr>
        <w:shd w:val="clear" w:color="70AD47" w:fill="70AD47" w:themeFill="accent6"/>
      </w:tcPr>
    </w:tblStylePr>
    <w:tblStylePr w:type="firstCol">
      <w:rPr>
        <w:rFonts w:ascii="Arial" w:hAnsi="Arial"/>
        <w:color w:val="F2F2F2"/>
        <w:sz w:val="22"/>
      </w:rPr>
      <w:tblPr/>
      <w:tcPr>
        <w:shd w:val="clear" w:color="70AD47" w:fill="70AD47" w:themeFill="accent6"/>
      </w:tcPr>
    </w:tblStylePr>
    <w:tblStylePr w:type="lastCol">
      <w:rPr>
        <w:rFonts w:ascii="Arial" w:hAnsi="Arial"/>
        <w:color w:val="F2F2F2"/>
        <w:sz w:val="22"/>
      </w:rPr>
      <w:tblPr/>
      <w:tcPr>
        <w:shd w:val="clear" w:color="70AD47" w:fill="70AD47" w:themeFill="accent6"/>
      </w:tcPr>
    </w:tblStylePr>
    <w:tblStylePr w:type="band1Vert">
      <w:rPr>
        <w:rFonts w:ascii="Arial" w:hAnsi="Arial"/>
        <w:color w:val="404040"/>
        <w:sz w:val="22"/>
      </w:rPr>
    </w:tblStylePr>
    <w:tblStylePr w:type="band2Vert">
      <w:rPr>
        <w:rFonts w:ascii="Arial" w:hAnsi="Arial"/>
        <w:color w:val="404040"/>
        <w:sz w:val="22"/>
      </w:rPr>
      <w:tblPr/>
      <w:tcPr>
        <w:shd w:val="clear" w:color="E1EFD8" w:fill="E1EFD8" w:themeFill="accent6" w:themeFillTint="34"/>
      </w:tcPr>
    </w:tblStylePr>
    <w:tblStylePr w:type="band1Horz">
      <w:rPr>
        <w:rFonts w:ascii="Arial" w:hAnsi="Arial"/>
        <w:color w:val="404040"/>
        <w:sz w:val="22"/>
      </w:rPr>
    </w:tblStylePr>
    <w:tblStylePr w:type="band2Horz">
      <w:rPr>
        <w:rFonts w:ascii="Arial" w:hAnsi="Arial"/>
        <w:color w:val="404040"/>
        <w:sz w:val="22"/>
      </w:rPr>
      <w:tblPr/>
      <w:tcPr>
        <w:shd w:val="clear" w:color="E1EFD8" w:fill="E1EFD8" w:themeFill="accent6" w:themeFillTint="34"/>
      </w:tcPr>
    </w:tblStylePr>
  </w:style>
  <w:style w:type="table" w:customStyle="1" w:styleId="Bordered">
    <w:name w:val="Bordered"/>
    <w:basedOn w:val="TableNormal"/>
    <w:uiPriority w:val="99"/>
    <w:pPr>
      <w:spacing w:after="0" w:line="240" w:lineRule="auto"/>
    </w:pPr>
    <w:tblPr>
      <w:tblStyleRowBandSize w:val="1"/>
      <w:tblStyleColBandSize w:val="1"/>
      <w:tbl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insideH w:val="single" w:sz="4" w:space="0" w:color="D9D9D9" w:themeColor="text1" w:themeTint="26"/>
        <w:insideV w:val="single" w:sz="4" w:space="0" w:color="D9D9D9" w:themeColor="text1" w:themeTint="26"/>
      </w:tblBorders>
    </w:tblPr>
    <w:tblStylePr w:type="firstRow">
      <w:rPr>
        <w:rFonts w:ascii="Arial" w:hAnsi="Arial"/>
        <w:color w:val="404040"/>
        <w:sz w:val="22"/>
      </w:rPr>
      <w:tblPr/>
      <w:tcPr>
        <w:tcBorders>
          <w:bottom w:val="single" w:sz="12" w:space="0" w:color="7F7F7F" w:themeColor="text1" w:themeTint="80"/>
        </w:tcBorders>
      </w:tcPr>
    </w:tblStylePr>
    <w:tblStylePr w:type="lastRow">
      <w:rPr>
        <w:rFonts w:ascii="Arial" w:hAnsi="Arial"/>
        <w:color w:val="404040"/>
        <w:sz w:val="22"/>
      </w:rPr>
      <w:tblPr/>
      <w:tcPr>
        <w:tcBorders>
          <w:top w:val="single" w:sz="12" w:space="0" w:color="7F7F7F" w:themeColor="text1" w:themeTint="80"/>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7F7F7F" w:themeColor="text1" w:themeTint="80"/>
        </w:tcBorders>
      </w:tcPr>
    </w:tblStylePr>
    <w:tblStylePr w:type="band1Horz">
      <w:rPr>
        <w:rFonts w:ascii="Arial" w:hAnsi="Arial"/>
        <w:color w:val="404040"/>
        <w:sz w:val="22"/>
      </w:rPr>
      <w:tblPr/>
      <w:tcPr>
        <w:tcBorders>
          <w:top w:val="single" w:sz="4" w:space="0" w:color="D9D9D9" w:themeColor="text1" w:themeTint="26"/>
          <w:left w:val="single" w:sz="4" w:space="0" w:color="D9D9D9" w:themeColor="text1" w:themeTint="26"/>
          <w:bottom w:val="single" w:sz="4" w:space="0" w:color="D9D9D9" w:themeColor="text1" w:themeTint="26"/>
          <w:right w:val="single" w:sz="4" w:space="0" w:color="D9D9D9" w:themeColor="text1" w:themeTint="26"/>
        </w:tcBorders>
      </w:tcPr>
    </w:tblStylePr>
  </w:style>
  <w:style w:type="table" w:customStyle="1" w:styleId="Bordered-Accent1">
    <w:name w:val="Bordered - Accent 1"/>
    <w:basedOn w:val="TableNormal"/>
    <w:uiPriority w:val="99"/>
    <w:pPr>
      <w:spacing w:after="0" w:line="240" w:lineRule="auto"/>
    </w:pPr>
    <w:tblPr>
      <w:tblStyleRowBandSize w:val="1"/>
      <w:tblStyleColBandSize w:val="1"/>
      <w:tbl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insideH w:val="single" w:sz="4" w:space="0" w:color="BCD6EE" w:themeColor="accent1" w:themeTint="67"/>
        <w:insideV w:val="single" w:sz="4" w:space="0" w:color="BCD6EE" w:themeColor="accent1" w:themeTint="67"/>
      </w:tblBorders>
    </w:tblPr>
    <w:tblStylePr w:type="firstRow">
      <w:rPr>
        <w:rFonts w:ascii="Arial" w:hAnsi="Arial"/>
        <w:color w:val="404040"/>
        <w:sz w:val="22"/>
      </w:rPr>
      <w:tblPr/>
      <w:tcPr>
        <w:tcBorders>
          <w:bottom w:val="single" w:sz="12" w:space="0" w:color="5B9BD5" w:themeColor="accent1"/>
        </w:tcBorders>
      </w:tcPr>
    </w:tblStylePr>
    <w:tblStylePr w:type="lastRow">
      <w:rPr>
        <w:rFonts w:ascii="Arial" w:hAnsi="Arial"/>
        <w:color w:val="404040"/>
        <w:sz w:val="22"/>
      </w:rPr>
      <w:tblPr/>
      <w:tcPr>
        <w:tcBorders>
          <w:top w:val="single" w:sz="12" w:space="0" w:color="5B9BD5" w:themeColor="accent1"/>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5B9BD5" w:themeColor="accent1"/>
        </w:tcBorders>
      </w:tcPr>
    </w:tblStylePr>
    <w:tblStylePr w:type="band1Horz">
      <w:rPr>
        <w:rFonts w:ascii="Arial" w:hAnsi="Arial"/>
        <w:color w:val="404040"/>
        <w:sz w:val="22"/>
      </w:rPr>
      <w:tblPr/>
      <w:tcPr>
        <w:tcBorders>
          <w:top w:val="single" w:sz="4" w:space="0" w:color="BCD6EE" w:themeColor="accent1" w:themeTint="67"/>
          <w:left w:val="single" w:sz="4" w:space="0" w:color="BCD6EE" w:themeColor="accent1" w:themeTint="67"/>
          <w:bottom w:val="single" w:sz="4" w:space="0" w:color="BCD6EE" w:themeColor="accent1" w:themeTint="67"/>
          <w:right w:val="single" w:sz="4" w:space="0" w:color="BCD6EE" w:themeColor="accent1" w:themeTint="67"/>
        </w:tcBorders>
      </w:tcPr>
    </w:tblStylePr>
  </w:style>
  <w:style w:type="table" w:customStyle="1" w:styleId="Bordered-Accent2">
    <w:name w:val="Bordered - Accent 2"/>
    <w:basedOn w:val="TableNormal"/>
    <w:uiPriority w:val="99"/>
    <w:pPr>
      <w:spacing w:after="0" w:line="240" w:lineRule="auto"/>
    </w:pPr>
    <w:tblPr>
      <w:tblStyleRowBandSize w:val="1"/>
      <w:tblStyleColBandSize w:val="1"/>
      <w:tbl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insideH w:val="single" w:sz="4" w:space="0" w:color="F7CAAB" w:themeColor="accent2" w:themeTint="67"/>
        <w:insideV w:val="single" w:sz="4" w:space="0" w:color="F7CAAB" w:themeColor="accent2" w:themeTint="67"/>
      </w:tblBorders>
    </w:tblPr>
    <w:tblStylePr w:type="firstRow">
      <w:rPr>
        <w:rFonts w:ascii="Arial" w:hAnsi="Arial"/>
        <w:color w:val="404040"/>
        <w:sz w:val="22"/>
      </w:rPr>
      <w:tblPr/>
      <w:tcPr>
        <w:tcBorders>
          <w:bottom w:val="single" w:sz="12" w:space="0" w:color="F4B184" w:themeColor="accent2" w:themeTint="97"/>
        </w:tcBorders>
      </w:tcPr>
    </w:tblStylePr>
    <w:tblStylePr w:type="lastRow">
      <w:rPr>
        <w:rFonts w:ascii="Arial" w:hAnsi="Arial"/>
        <w:color w:val="404040"/>
        <w:sz w:val="22"/>
      </w:rPr>
      <w:tblPr/>
      <w:tcPr>
        <w:tcBorders>
          <w:top w:val="single" w:sz="12" w:space="0" w:color="F4B184" w:themeColor="accent2" w:themeTint="97"/>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4B184" w:themeColor="accent2" w:themeTint="97"/>
        </w:tcBorders>
      </w:tcPr>
    </w:tblStylePr>
    <w:tblStylePr w:type="band1Horz">
      <w:rPr>
        <w:rFonts w:ascii="Arial" w:hAnsi="Arial"/>
        <w:color w:val="404040"/>
        <w:sz w:val="22"/>
      </w:rPr>
      <w:tblPr/>
      <w:tcPr>
        <w:tcBorders>
          <w:top w:val="single" w:sz="4" w:space="0" w:color="F7CAAB" w:themeColor="accent2" w:themeTint="67"/>
          <w:left w:val="single" w:sz="4" w:space="0" w:color="F7CAAB" w:themeColor="accent2" w:themeTint="67"/>
          <w:bottom w:val="single" w:sz="4" w:space="0" w:color="F7CAAB" w:themeColor="accent2" w:themeTint="67"/>
          <w:right w:val="single" w:sz="4" w:space="0" w:color="F7CAAB" w:themeColor="accent2" w:themeTint="67"/>
        </w:tcBorders>
      </w:tcPr>
    </w:tblStylePr>
  </w:style>
  <w:style w:type="table" w:customStyle="1" w:styleId="Bordered-Accent3">
    <w:name w:val="Bordered - Accent 3"/>
    <w:basedOn w:val="TableNormal"/>
    <w:uiPriority w:val="99"/>
    <w:pPr>
      <w:spacing w:after="0" w:line="240" w:lineRule="auto"/>
    </w:pPr>
    <w:tblPr>
      <w:tblStyleRowBandSize w:val="1"/>
      <w:tblStyleColBandSize w:val="1"/>
      <w:tbl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insideH w:val="single" w:sz="4" w:space="0" w:color="DADADA" w:themeColor="accent3" w:themeTint="67"/>
        <w:insideV w:val="single" w:sz="4" w:space="0" w:color="DADADA" w:themeColor="accent3" w:themeTint="67"/>
      </w:tblBorders>
    </w:tblPr>
    <w:tblStylePr w:type="firstRow">
      <w:rPr>
        <w:rFonts w:ascii="Arial" w:hAnsi="Arial"/>
        <w:color w:val="404040"/>
        <w:sz w:val="22"/>
      </w:rPr>
      <w:tblPr/>
      <w:tcPr>
        <w:tcBorders>
          <w:bottom w:val="single" w:sz="12" w:space="0" w:color="C9C9C9" w:themeColor="accent3" w:themeTint="98"/>
        </w:tcBorders>
      </w:tcPr>
    </w:tblStylePr>
    <w:tblStylePr w:type="lastRow">
      <w:rPr>
        <w:rFonts w:ascii="Arial" w:hAnsi="Arial"/>
        <w:color w:val="404040"/>
        <w:sz w:val="22"/>
      </w:rPr>
      <w:tblPr/>
      <w:tcPr>
        <w:tcBorders>
          <w:top w:val="single" w:sz="12" w:space="0" w:color="C9C9C9" w:themeColor="accent3"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C9C9C9" w:themeColor="accent3" w:themeTint="98"/>
        </w:tcBorders>
      </w:tcPr>
    </w:tblStylePr>
    <w:tblStylePr w:type="band1Horz">
      <w:rPr>
        <w:rFonts w:ascii="Arial" w:hAnsi="Arial"/>
        <w:color w:val="404040"/>
        <w:sz w:val="22"/>
      </w:rPr>
      <w:tblPr/>
      <w:tcPr>
        <w:tcBorders>
          <w:top w:val="single" w:sz="4" w:space="0" w:color="DADADA" w:themeColor="accent3" w:themeTint="67"/>
          <w:left w:val="single" w:sz="4" w:space="0" w:color="DADADA" w:themeColor="accent3" w:themeTint="67"/>
          <w:bottom w:val="single" w:sz="4" w:space="0" w:color="DADADA" w:themeColor="accent3" w:themeTint="67"/>
          <w:right w:val="single" w:sz="4" w:space="0" w:color="DADADA" w:themeColor="accent3" w:themeTint="67"/>
        </w:tcBorders>
      </w:tcPr>
    </w:tblStylePr>
  </w:style>
  <w:style w:type="table" w:customStyle="1" w:styleId="Bordered-Accent4">
    <w:name w:val="Bordered - Accent 4"/>
    <w:basedOn w:val="TableNormal"/>
    <w:uiPriority w:val="99"/>
    <w:pPr>
      <w:spacing w:after="0" w:line="240" w:lineRule="auto"/>
    </w:pPr>
    <w:tblPr>
      <w:tblStyleRowBandSize w:val="1"/>
      <w:tblStyleColBandSize w:val="1"/>
      <w:tbl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insideH w:val="single" w:sz="4" w:space="0" w:color="FFE598" w:themeColor="accent4" w:themeTint="67"/>
        <w:insideV w:val="single" w:sz="4" w:space="0" w:color="FFE598" w:themeColor="accent4" w:themeTint="67"/>
      </w:tblBorders>
    </w:tblPr>
    <w:tblStylePr w:type="firstRow">
      <w:rPr>
        <w:rFonts w:ascii="Arial" w:hAnsi="Arial"/>
        <w:color w:val="404040"/>
        <w:sz w:val="22"/>
      </w:rPr>
      <w:tblPr/>
      <w:tcPr>
        <w:tcBorders>
          <w:bottom w:val="single" w:sz="12" w:space="0" w:color="FFD865" w:themeColor="accent4" w:themeTint="9A"/>
        </w:tcBorders>
      </w:tcPr>
    </w:tblStylePr>
    <w:tblStylePr w:type="lastRow">
      <w:rPr>
        <w:rFonts w:ascii="Arial" w:hAnsi="Arial"/>
        <w:color w:val="404040"/>
        <w:sz w:val="22"/>
      </w:rPr>
      <w:tblPr/>
      <w:tcPr>
        <w:tcBorders>
          <w:top w:val="single" w:sz="12" w:space="0" w:color="FFD865" w:themeColor="accent4"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FFD865" w:themeColor="accent4" w:themeTint="9A"/>
        </w:tcBorders>
      </w:tcPr>
    </w:tblStylePr>
    <w:tblStylePr w:type="band1Horz">
      <w:rPr>
        <w:rFonts w:ascii="Arial" w:hAnsi="Arial"/>
        <w:color w:val="404040"/>
        <w:sz w:val="22"/>
      </w:rPr>
      <w:tblPr/>
      <w:tcPr>
        <w:tcBorders>
          <w:top w:val="single" w:sz="4" w:space="0" w:color="FFE598" w:themeColor="accent4" w:themeTint="67"/>
          <w:left w:val="single" w:sz="4" w:space="0" w:color="FFE598" w:themeColor="accent4" w:themeTint="67"/>
          <w:bottom w:val="single" w:sz="4" w:space="0" w:color="FFE598" w:themeColor="accent4" w:themeTint="67"/>
          <w:right w:val="single" w:sz="4" w:space="0" w:color="FFE598" w:themeColor="accent4" w:themeTint="67"/>
        </w:tcBorders>
      </w:tcPr>
    </w:tblStylePr>
  </w:style>
  <w:style w:type="table" w:customStyle="1" w:styleId="Bordered-Accent5">
    <w:name w:val="Bordered - Accent 5"/>
    <w:basedOn w:val="TableNormal"/>
    <w:uiPriority w:val="99"/>
    <w:pPr>
      <w:spacing w:after="0" w:line="240" w:lineRule="auto"/>
    </w:pPr>
    <w:tblPr>
      <w:tblStyleRowBandSize w:val="1"/>
      <w:tblStyleColBandSize w:val="1"/>
      <w:tbl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insideH w:val="single" w:sz="4" w:space="0" w:color="B3C5E7" w:themeColor="accent5" w:themeTint="67"/>
        <w:insideV w:val="single" w:sz="4" w:space="0" w:color="B3C5E7" w:themeColor="accent5" w:themeTint="67"/>
      </w:tblBorders>
    </w:tblPr>
    <w:tblStylePr w:type="firstRow">
      <w:rPr>
        <w:rFonts w:ascii="Arial" w:hAnsi="Arial"/>
        <w:color w:val="404040"/>
        <w:sz w:val="22"/>
      </w:rPr>
      <w:tblPr/>
      <w:tcPr>
        <w:tcBorders>
          <w:bottom w:val="single" w:sz="12" w:space="0" w:color="8DA9DB" w:themeColor="accent5" w:themeTint="9A"/>
        </w:tcBorders>
      </w:tcPr>
    </w:tblStylePr>
    <w:tblStylePr w:type="lastRow">
      <w:rPr>
        <w:rFonts w:ascii="Arial" w:hAnsi="Arial"/>
        <w:color w:val="404040"/>
        <w:sz w:val="22"/>
      </w:rPr>
      <w:tblPr/>
      <w:tcPr>
        <w:tcBorders>
          <w:top w:val="single" w:sz="12" w:space="0" w:color="8DA9DB" w:themeColor="accent5" w:themeTint="9A"/>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8DA9DB" w:themeColor="accent5" w:themeTint="9A"/>
        </w:tcBorders>
      </w:tcPr>
    </w:tblStylePr>
    <w:tblStylePr w:type="band1Horz">
      <w:rPr>
        <w:rFonts w:ascii="Arial" w:hAnsi="Arial"/>
        <w:color w:val="404040"/>
        <w:sz w:val="22"/>
      </w:rPr>
      <w:tblPr/>
      <w:tcPr>
        <w:tcBorders>
          <w:top w:val="single" w:sz="4" w:space="0" w:color="B3C5E7" w:themeColor="accent5" w:themeTint="67"/>
          <w:left w:val="single" w:sz="4" w:space="0" w:color="B3C5E7" w:themeColor="accent5" w:themeTint="67"/>
          <w:bottom w:val="single" w:sz="4" w:space="0" w:color="B3C5E7" w:themeColor="accent5" w:themeTint="67"/>
          <w:right w:val="single" w:sz="4" w:space="0" w:color="B3C5E7" w:themeColor="accent5" w:themeTint="67"/>
        </w:tcBorders>
      </w:tcPr>
    </w:tblStylePr>
  </w:style>
  <w:style w:type="table" w:customStyle="1" w:styleId="Bordered-Accent6">
    <w:name w:val="Bordered - Accent 6"/>
    <w:basedOn w:val="TableNormal"/>
    <w:uiPriority w:val="99"/>
    <w:pPr>
      <w:spacing w:after="0" w:line="240" w:lineRule="auto"/>
    </w:pPr>
    <w:tblPr>
      <w:tblStyleRowBandSize w:val="1"/>
      <w:tblStyleColBandSize w:val="1"/>
      <w:tbl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insideH w:val="single" w:sz="4" w:space="0" w:color="C4DFB2" w:themeColor="accent6" w:themeTint="67"/>
        <w:insideV w:val="single" w:sz="4" w:space="0" w:color="C4DFB2" w:themeColor="accent6" w:themeTint="67"/>
      </w:tblBorders>
    </w:tblPr>
    <w:tblStylePr w:type="firstRow">
      <w:rPr>
        <w:rFonts w:ascii="Arial" w:hAnsi="Arial"/>
        <w:color w:val="404040"/>
        <w:sz w:val="22"/>
      </w:rPr>
      <w:tblPr/>
      <w:tcPr>
        <w:tcBorders>
          <w:bottom w:val="single" w:sz="12" w:space="0" w:color="A9D08E" w:themeColor="accent6" w:themeTint="98"/>
        </w:tcBorders>
      </w:tcPr>
    </w:tblStylePr>
    <w:tblStylePr w:type="lastRow">
      <w:rPr>
        <w:rFonts w:ascii="Arial" w:hAnsi="Arial"/>
        <w:color w:val="404040"/>
        <w:sz w:val="22"/>
      </w:rPr>
      <w:tblPr/>
      <w:tcPr>
        <w:tcBorders>
          <w:top w:val="single" w:sz="12" w:space="0" w:color="A9D08E" w:themeColor="accent6" w:themeTint="98"/>
        </w:tcBorders>
      </w:tcPr>
    </w:tblStylePr>
    <w:tblStylePr w:type="firstCol">
      <w:rPr>
        <w:rFonts w:ascii="Arial" w:hAnsi="Arial"/>
        <w:color w:val="404040"/>
        <w:sz w:val="22"/>
      </w:rPr>
    </w:tblStylePr>
    <w:tblStylePr w:type="lastCol">
      <w:rPr>
        <w:rFonts w:ascii="Arial" w:hAnsi="Arial"/>
        <w:color w:val="404040"/>
        <w:sz w:val="22"/>
      </w:rPr>
      <w:tblPr/>
      <w:tcPr>
        <w:tcBorders>
          <w:left w:val="single" w:sz="12" w:space="0" w:color="A9D08E" w:themeColor="accent6" w:themeTint="98"/>
        </w:tcBorders>
      </w:tcPr>
    </w:tblStylePr>
    <w:tblStylePr w:type="band1Horz">
      <w:rPr>
        <w:rFonts w:ascii="Arial" w:hAnsi="Arial"/>
        <w:color w:val="404040"/>
        <w:sz w:val="22"/>
      </w:rPr>
      <w:tblPr/>
      <w:tcPr>
        <w:tcBorders>
          <w:top w:val="single" w:sz="4" w:space="0" w:color="C4DFB2" w:themeColor="accent6" w:themeTint="67"/>
          <w:left w:val="single" w:sz="4" w:space="0" w:color="C4DFB2" w:themeColor="accent6" w:themeTint="67"/>
          <w:bottom w:val="single" w:sz="4" w:space="0" w:color="C4DFB2" w:themeColor="accent6" w:themeTint="67"/>
          <w:right w:val="single" w:sz="4" w:space="0" w:color="C4DFB2" w:themeColor="accent6" w:themeTint="67"/>
        </w:tcBorders>
      </w:tcPr>
    </w:tblStylePr>
  </w:style>
  <w:style w:type="paragraph" w:styleId="EndnoteText">
    <w:name w:val="endnote text"/>
    <w:basedOn w:val="Normal"/>
    <w:link w:val="EndnoteTextChar"/>
    <w:uiPriority w:val="99"/>
    <w:semiHidden/>
    <w:unhideWhenUsed/>
    <w:pPr>
      <w:spacing w:after="0" w:line="240" w:lineRule="auto"/>
    </w:pPr>
    <w:rPr>
      <w:sz w:val="20"/>
    </w:rPr>
  </w:style>
  <w:style w:type="character" w:customStyle="1" w:styleId="EndnoteTextChar">
    <w:name w:val="Endnote Text Char"/>
    <w:link w:val="EndnoteText"/>
    <w:uiPriority w:val="99"/>
    <w:rPr>
      <w:sz w:val="20"/>
    </w:rPr>
  </w:style>
  <w:style w:type="character" w:styleId="EndnoteReference">
    <w:name w:val="endnote reference"/>
    <w:basedOn w:val="DefaultParagraphFont"/>
    <w:uiPriority w:val="99"/>
    <w:semiHidden/>
    <w:unhideWhenUsed/>
    <w:rPr>
      <w:vertAlign w:val="superscript"/>
    </w:rPr>
  </w:style>
  <w:style w:type="paragraph" w:styleId="TOC1">
    <w:name w:val="toc 1"/>
    <w:basedOn w:val="Normal"/>
    <w:next w:val="Normal"/>
    <w:uiPriority w:val="39"/>
    <w:unhideWhenUsed/>
    <w:pPr>
      <w:spacing w:after="57"/>
    </w:pPr>
  </w:style>
  <w:style w:type="paragraph" w:styleId="TOC2">
    <w:name w:val="toc 2"/>
    <w:basedOn w:val="Normal"/>
    <w:next w:val="Normal"/>
    <w:uiPriority w:val="39"/>
    <w:unhideWhenUsed/>
    <w:pPr>
      <w:spacing w:after="57"/>
      <w:ind w:left="283"/>
    </w:pPr>
  </w:style>
  <w:style w:type="paragraph" w:styleId="TOC3">
    <w:name w:val="toc 3"/>
    <w:basedOn w:val="Normal"/>
    <w:next w:val="Normal"/>
    <w:uiPriority w:val="39"/>
    <w:unhideWhenUsed/>
    <w:pPr>
      <w:spacing w:after="57"/>
      <w:ind w:left="567"/>
    </w:pPr>
  </w:style>
  <w:style w:type="paragraph" w:styleId="TOC4">
    <w:name w:val="toc 4"/>
    <w:basedOn w:val="Normal"/>
    <w:next w:val="Normal"/>
    <w:uiPriority w:val="39"/>
    <w:unhideWhenUsed/>
    <w:pPr>
      <w:spacing w:after="57"/>
      <w:ind w:left="850"/>
    </w:pPr>
  </w:style>
  <w:style w:type="paragraph" w:styleId="TOC5">
    <w:name w:val="toc 5"/>
    <w:basedOn w:val="Normal"/>
    <w:next w:val="Normal"/>
    <w:uiPriority w:val="39"/>
    <w:unhideWhenUsed/>
    <w:pPr>
      <w:spacing w:after="57"/>
      <w:ind w:left="1134"/>
    </w:pPr>
  </w:style>
  <w:style w:type="paragraph" w:styleId="TOC6">
    <w:name w:val="toc 6"/>
    <w:basedOn w:val="Normal"/>
    <w:next w:val="Normal"/>
    <w:uiPriority w:val="39"/>
    <w:unhideWhenUsed/>
    <w:pPr>
      <w:spacing w:after="57"/>
      <w:ind w:left="1417"/>
    </w:pPr>
  </w:style>
  <w:style w:type="paragraph" w:styleId="TOC7">
    <w:name w:val="toc 7"/>
    <w:basedOn w:val="Normal"/>
    <w:next w:val="Normal"/>
    <w:uiPriority w:val="39"/>
    <w:unhideWhenUsed/>
    <w:pPr>
      <w:spacing w:after="57"/>
      <w:ind w:left="1701"/>
    </w:pPr>
  </w:style>
  <w:style w:type="paragraph" w:styleId="TOC8">
    <w:name w:val="toc 8"/>
    <w:basedOn w:val="Normal"/>
    <w:next w:val="Normal"/>
    <w:uiPriority w:val="39"/>
    <w:unhideWhenUsed/>
    <w:pPr>
      <w:spacing w:after="57"/>
      <w:ind w:left="1984"/>
    </w:pPr>
  </w:style>
  <w:style w:type="paragraph" w:styleId="TOC9">
    <w:name w:val="toc 9"/>
    <w:basedOn w:val="Normal"/>
    <w:next w:val="Normal"/>
    <w:uiPriority w:val="39"/>
    <w:unhideWhenUsed/>
    <w:pPr>
      <w:spacing w:after="57"/>
      <w:ind w:left="2268"/>
    </w:pPr>
  </w:style>
  <w:style w:type="paragraph" w:styleId="TOCHeading">
    <w:name w:val="TOC Heading"/>
    <w:uiPriority w:val="39"/>
    <w:unhideWhenUsed/>
  </w:style>
  <w:style w:type="paragraph" w:styleId="TableofFigures">
    <w:name w:val="table of figures"/>
    <w:basedOn w:val="Normal"/>
    <w:next w:val="Normal"/>
    <w:uiPriority w:val="99"/>
    <w:unhideWhenUsed/>
    <w:pPr>
      <w:spacing w:after="0"/>
    </w:pPr>
  </w:style>
  <w:style w:type="character" w:customStyle="1" w:styleId="mi">
    <w:name w:val="mi"/>
    <w:basedOn w:val="DefaultParagraphFont"/>
  </w:style>
  <w:style w:type="character" w:customStyle="1" w:styleId="mo">
    <w:name w:val="mo"/>
    <w:basedOn w:val="DefaultParagraphFont"/>
  </w:style>
  <w:style w:type="character" w:customStyle="1" w:styleId="markedcontent">
    <w:name w:val="markedcontent"/>
    <w:basedOn w:val="DefaultParagraphFont"/>
  </w:style>
  <w:style w:type="paragraph" w:styleId="Caption">
    <w:name w:val="caption"/>
    <w:basedOn w:val="Normal"/>
    <w:next w:val="Normal"/>
    <w:uiPriority w:val="35"/>
    <w:unhideWhenUsed/>
    <w:qFormat/>
    <w:pPr>
      <w:spacing w:after="200" w:line="240" w:lineRule="auto"/>
    </w:pPr>
    <w:rPr>
      <w:i/>
      <w:iCs/>
      <w:color w:val="44546A" w:themeColor="text2"/>
      <w:sz w:val="18"/>
      <w:szCs w:val="18"/>
    </w:rPr>
  </w:style>
  <w:style w:type="table" w:styleId="TableGrid">
    <w:name w:val="Table Grid"/>
    <w:basedOn w:val="TableNormal"/>
    <w:uiPriority w:val="39"/>
    <w:pPr>
      <w:spacing w:after="0" w:line="240" w:lineRule="auto"/>
    </w:p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FootnoteText">
    <w:name w:val="footnote text"/>
    <w:basedOn w:val="Normal"/>
    <w:link w:val="FootnoteTextChar"/>
    <w:uiPriority w:val="99"/>
    <w:unhideWhenUsed/>
    <w:pPr>
      <w:spacing w:after="0" w:line="240" w:lineRule="auto"/>
    </w:pPr>
    <w:rPr>
      <w:sz w:val="20"/>
      <w:szCs w:val="20"/>
    </w:rPr>
  </w:style>
  <w:style w:type="character" w:customStyle="1" w:styleId="FootnoteTextChar">
    <w:name w:val="Footnote Text Char"/>
    <w:basedOn w:val="DefaultParagraphFont"/>
    <w:link w:val="FootnoteText"/>
    <w:uiPriority w:val="99"/>
    <w:rPr>
      <w:sz w:val="20"/>
      <w:szCs w:val="20"/>
    </w:rPr>
  </w:style>
  <w:style w:type="character" w:styleId="FootnoteReference">
    <w:name w:val="footnote reference"/>
    <w:basedOn w:val="DefaultParagraphFont"/>
    <w:uiPriority w:val="99"/>
    <w:semiHidden/>
    <w:unhideWhenUsed/>
    <w:rPr>
      <w:vertAlign w:val="superscript"/>
    </w:rPr>
  </w:style>
  <w:style w:type="character" w:styleId="Hyperlink">
    <w:name w:val="Hyperlink"/>
    <w:basedOn w:val="DefaultParagraphFont"/>
    <w:uiPriority w:val="99"/>
    <w:unhideWhenUsed/>
    <w:rPr>
      <w:color w:val="0563C1" w:themeColor="hyperlink"/>
      <w:u w:val="single"/>
    </w:rPr>
  </w:style>
  <w:style w:type="character" w:styleId="FollowedHyperlink">
    <w:name w:val="FollowedHyperlink"/>
    <w:basedOn w:val="DefaultParagraphFont"/>
    <w:uiPriority w:val="99"/>
    <w:semiHidden/>
    <w:unhideWhenUsed/>
    <w:rPr>
      <w:color w:val="954F72" w:themeColor="followedHyperlink"/>
      <w:u w:val="single"/>
    </w:rPr>
  </w:style>
  <w:style w:type="table" w:styleId="PlainTable1">
    <w:name w:val="Plain Table 1"/>
    <w:basedOn w:val="TableNormal"/>
    <w:uiPriority w:val="41"/>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single" w:sz="4" w:space="0" w:color="BFBFBF" w:themeColor="background1" w:themeShade="BF"/>
        </w:tcBorders>
      </w:tcPr>
    </w:tblStylePr>
    <w:tblStylePr w:type="firstCol">
      <w:rPr>
        <w:b/>
        <w:bCs/>
      </w:rPr>
    </w:tblStylePr>
    <w:tblStylePr w:type="lastCol">
      <w:rPr>
        <w:b/>
        <w:bCs/>
      </w:rPr>
    </w:tblStylePr>
    <w:tblStylePr w:type="band1Vert">
      <w:tblPr/>
      <w:tcPr>
        <w:shd w:val="clear" w:color="F2F2F2" w:fill="F2F2F2" w:themeFill="background1" w:themeFillShade="F2"/>
      </w:tcPr>
    </w:tblStylePr>
    <w:tblStylePr w:type="band1Horz">
      <w:tblPr/>
      <w:tcPr>
        <w:shd w:val="clear" w:color="F2F2F2" w:fill="F2F2F2" w:themeFill="background1" w:themeFillShade="F2"/>
      </w:tcPr>
    </w:tblStylePr>
  </w:style>
  <w:style w:type="character" w:customStyle="1" w:styleId="hgkelc">
    <w:name w:val="hgkelc"/>
    <w:basedOn w:val="DefaultParagraphFont"/>
  </w:style>
  <w:style w:type="character" w:customStyle="1" w:styleId="Heading1Char">
    <w:name w:val="Heading 1 Char"/>
    <w:basedOn w:val="DefaultParagraphFont"/>
    <w:link w:val="Heading1"/>
    <w:uiPriority w:val="9"/>
    <w:rPr>
      <w:rFonts w:ascii="Calibri Light" w:eastAsia="Calibri Light" w:hAnsi="Calibri Light" w:cs="Calibri Light"/>
      <w:color w:val="2E74B5" w:themeColor="accent1" w:themeShade="BF"/>
      <w:sz w:val="32"/>
      <w:szCs w:val="32"/>
    </w:rPr>
  </w:style>
  <w:style w:type="paragraph" w:styleId="Bibliography">
    <w:name w:val="Bibliography"/>
    <w:basedOn w:val="Normal"/>
    <w:next w:val="Normal"/>
    <w:uiPriority w:val="37"/>
    <w:unhideWhenUsed/>
  </w:style>
  <w:style w:type="character" w:styleId="PlaceholderText">
    <w:name w:val="Placeholder Text"/>
    <w:basedOn w:val="DefaultParagraphFont"/>
    <w:uiPriority w:val="99"/>
    <w:semiHidden/>
    <w:rPr>
      <w:color w:val="808080"/>
    </w:rPr>
  </w:style>
  <w:style w:type="character" w:styleId="CommentReference">
    <w:name w:val="annotation reference"/>
    <w:basedOn w:val="DefaultParagraphFont"/>
    <w:uiPriority w:val="99"/>
    <w:semiHidden/>
    <w:unhideWhenUsed/>
    <w:rPr>
      <w:sz w:val="16"/>
      <w:szCs w:val="16"/>
    </w:r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paragraph" w:styleId="CommentSubject">
    <w:name w:val="annotation subject"/>
    <w:basedOn w:val="CommentText"/>
    <w:next w:val="CommentText"/>
    <w:link w:val="CommentSubjectChar"/>
    <w:uiPriority w:val="99"/>
    <w:semiHidden/>
    <w:unhideWhenUsed/>
    <w:rPr>
      <w:b/>
      <w:bCs/>
    </w:rPr>
  </w:style>
  <w:style w:type="character" w:customStyle="1" w:styleId="CommentSubjectChar">
    <w:name w:val="Comment Subject Char"/>
    <w:basedOn w:val="CommentTextChar"/>
    <w:link w:val="CommentSubject"/>
    <w:uiPriority w:val="99"/>
    <w:semiHidden/>
    <w:rPr>
      <w:b/>
      <w:bCs/>
      <w:sz w:val="20"/>
      <w:szCs w:val="20"/>
    </w:rPr>
  </w:style>
  <w:style w:type="paragraph" w:styleId="BalloonText">
    <w:name w:val="Balloon Text"/>
    <w:basedOn w:val="Normal"/>
    <w:link w:val="BalloonTextChar"/>
    <w:uiPriority w:val="99"/>
    <w:semiHidden/>
    <w:unhideWhenUse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Pr>
      <w:rFonts w:ascii="Segoe UI" w:hAnsi="Segoe UI" w:cs="Segoe UI"/>
      <w:sz w:val="18"/>
      <w:szCs w:val="18"/>
    </w:rPr>
  </w:style>
  <w:style w:type="paragraph" w:styleId="HTMLPreformatted">
    <w:name w:val="HTML Preformatted"/>
    <w:basedOn w:val="Normal"/>
    <w:link w:val="HTMLPreformattedChar"/>
    <w:uiPriority w:val="99"/>
    <w:semiHidden/>
    <w:unhideWhenUsed/>
    <w:rsid w:val="000831F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PreformattedChar">
    <w:name w:val="HTML Preformatted Char"/>
    <w:basedOn w:val="DefaultParagraphFont"/>
    <w:link w:val="HTMLPreformatted"/>
    <w:uiPriority w:val="99"/>
    <w:semiHidden/>
    <w:rsid w:val="000831F6"/>
    <w:rPr>
      <w:rFonts w:ascii="Courier New" w:eastAsia="Times New Roman" w:hAnsi="Courier New" w:cs="Courier New"/>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13426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hyperlink" Target="https://www.nature.com/articles/s41467-022-30897-1" TargetMode="External"/><Relationship Id="rId18" Type="http://schemas.openxmlformats.org/officeDocument/2006/relationships/image" Target="media/image1.png"/><Relationship Id="rId26" Type="http://schemas.openxmlformats.org/officeDocument/2006/relationships/image" Target="media/image4.png"/><Relationship Id="rId39" Type="http://schemas.microsoft.com/office/2007/relationships/hdphoto" Target="media/hdphoto1.wdp"/><Relationship Id="rId21" Type="http://schemas.openxmlformats.org/officeDocument/2006/relationships/image" Target="media/image2.png"/><Relationship Id="rId42" Type="http://schemas.openxmlformats.org/officeDocument/2006/relationships/hyperlink" Target="https://doi.org/10.1038/s41598-022-11362-x" TargetMode="External"/><Relationship Id="rId47" Type="http://schemas.openxmlformats.org/officeDocument/2006/relationships/hyperlink" Target="https://www.pnas.org/doi/full/10.1073/pnas.2119266119" TargetMode="External"/><Relationship Id="rId50" Type="http://schemas.openxmlformats.org/officeDocument/2006/relationships/hyperlink" Target="https://doi.org/10.1186/s13756-021-01039-x" TargetMode="External"/><Relationship Id="rId55" Type="http://schemas.openxmlformats.org/officeDocument/2006/relationships/hyperlink" Target="https://doi.org/10.1186/s12879-023-08368-9" TargetMode="External"/><Relationship Id="rId7" Type="http://schemas.openxmlformats.org/officeDocument/2006/relationships/footnotes" Target="footnotes.xml"/><Relationship Id="rId2" Type="http://schemas.openxmlformats.org/officeDocument/2006/relationships/customXml" Target="../customXml/item2.xml"/><Relationship Id="rId16" Type="http://schemas.openxmlformats.org/officeDocument/2006/relationships/hyperlink" Target="https://www.ecdc.europa.eu/en" TargetMode="External"/><Relationship Id="rId11" Type="http://schemas.openxmlformats.org/officeDocument/2006/relationships/hyperlink" Target="https://bmcpublichealth.biomedcentral.com/articles/10.1186/s12889-022-13546-6" TargetMode="External"/><Relationship Id="rId24" Type="http://schemas.openxmlformats.org/officeDocument/2006/relationships/hyperlink" Target="https://www.tandfonline.com/doi/abs/10.1080/10618600.1998.10474787" TargetMode="External"/><Relationship Id="rId37" Type="http://schemas.openxmlformats.org/officeDocument/2006/relationships/image" Target="media/image6.png"/><Relationship Id="rId40" Type="http://schemas.openxmlformats.org/officeDocument/2006/relationships/hyperlink" Target="https://gitlab.uni-koblenz.de/hamedkhalili/covid_ai_project/-/tree/main/p_1" TargetMode="External"/><Relationship Id="rId45" Type="http://schemas.openxmlformats.org/officeDocument/2006/relationships/hyperlink" Target="https://doi.org/10.1016/j.cie.2022.107970" TargetMode="External"/><Relationship Id="rId53" Type="http://schemas.openxmlformats.org/officeDocument/2006/relationships/hyperlink" Target="https://doi.org/10.1287/opre.2022.2306" TargetMode="External"/><Relationship Id="rId58" Type="http://schemas.openxmlformats.org/officeDocument/2006/relationships/hyperlink" Target="https://doi.org/10.1186/s12889-022-13546-6" TargetMode="External"/><Relationship Id="rId5" Type="http://schemas.openxmlformats.org/officeDocument/2006/relationships/settings" Target="settings.xml"/><Relationship Id="rId61" Type="http://schemas.openxmlformats.org/officeDocument/2006/relationships/theme" Target="theme/theme1.xml"/><Relationship Id="rId10" Type="http://schemas.openxmlformats.org/officeDocument/2006/relationships/hyperlink" Target="https://aricjournal.biomedcentral.com/articles/10.1186/s13756-021-01039-x" TargetMode="External"/><Relationship Id="rId19" Type="http://schemas.openxmlformats.org/officeDocument/2006/relationships/hyperlink" Target="https://www.taylorfrancis.com/books/mono/10.1201/9780429113352/bayesian-hierarchical-models-peter-congdon" TargetMode="External"/><Relationship Id="rId44" Type="http://schemas.openxmlformats.org/officeDocument/2006/relationships/hyperlink" Target="https://doi.org/10.1201/9780429113352" TargetMode="External"/><Relationship Id="rId52" Type="http://schemas.openxmlformats.org/officeDocument/2006/relationships/hyperlink" Target="https://doi.org/10.2807/1560-7917.ES.2022.27.41.2101190" TargetMode="External"/><Relationship Id="rId60"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yperlink" Target="https://pubsonline.informs.org/doi/full/10.1287/opre.2022.2306" TargetMode="External"/><Relationship Id="rId14" Type="http://schemas.openxmlformats.org/officeDocument/2006/relationships/hyperlink" Target="https://www.pnas.org/doi/10.1073/pnas.2119266119" TargetMode="External"/><Relationship Id="rId22" Type="http://schemas.openxmlformats.org/officeDocument/2006/relationships/hyperlink" Target="https://ui.adsabs.harvard.edu/abs/1987PhLB..195..216D/abstract" TargetMode="External"/><Relationship Id="rId27" Type="http://schemas.openxmlformats.org/officeDocument/2006/relationships/image" Target="media/image5.png"/><Relationship Id="rId43" Type="http://schemas.openxmlformats.org/officeDocument/2006/relationships/hyperlink" Target="https://doi.org/10.1201/9780429288340" TargetMode="External"/><Relationship Id="rId48" Type="http://schemas.openxmlformats.org/officeDocument/2006/relationships/hyperlink" Target="https://doi.org/10.3390/ijerph19031139" TargetMode="External"/><Relationship Id="rId56" Type="http://schemas.openxmlformats.org/officeDocument/2006/relationships/hyperlink" Target="https://doi.org/10.1007/s10654-023-00963-z" TargetMode="External"/><Relationship Id="rId8" Type="http://schemas.openxmlformats.org/officeDocument/2006/relationships/endnotes" Target="endnotes.xml"/><Relationship Id="rId51" Type="http://schemas.openxmlformats.org/officeDocument/2006/relationships/hyperlink" Target="https://doi.org/10.3390/v15020325" TargetMode="External"/><Relationship Id="rId3" Type="http://schemas.openxmlformats.org/officeDocument/2006/relationships/numbering" Target="numbering.xml"/><Relationship Id="rId12" Type="http://schemas.openxmlformats.org/officeDocument/2006/relationships/hyperlink" Target="https://www.mdpi.com/1660-4601/19/3/1139" TargetMode="External"/><Relationship Id="rId17" Type="http://schemas.openxmlformats.org/officeDocument/2006/relationships/hyperlink" Target="https://www.ecdc.europa.eu/sites/default/files/documents/Variable_Dictionary_and_Disclaimer_non-pharmacautical_measures_v3.pdf" TargetMode="External"/><Relationship Id="rId25" Type="http://schemas.openxmlformats.org/officeDocument/2006/relationships/image" Target="media/image3.png"/><Relationship Id="rId38" Type="http://schemas.openxmlformats.org/officeDocument/2006/relationships/image" Target="media/image7.png"/><Relationship Id="rId46" Type="http://schemas.openxmlformats.org/officeDocument/2006/relationships/hyperlink" Target="https://doi.org/10.1038/s41467-022-30897-1" TargetMode="External"/><Relationship Id="rId59" Type="http://schemas.openxmlformats.org/officeDocument/2006/relationships/hyperlink" Target="https://doi.org/10.1038/s41598-023-31057-1" TargetMode="External"/><Relationship Id="rId20" Type="http://schemas.openxmlformats.org/officeDocument/2006/relationships/hyperlink" Target="https://www.bayesrulesbook.com/" TargetMode="External"/><Relationship Id="rId41" Type="http://schemas.openxmlformats.org/officeDocument/2006/relationships/hyperlink" Target="https://doi.org/10.1016/j.asoc.2022.108691" TargetMode="External"/><Relationship Id="rId54" Type="http://schemas.openxmlformats.org/officeDocument/2006/relationships/hyperlink" Target="https://doi.org/10.1016/j.ijid.2023.04.062"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ncbi.nlm.nih.gov/pmc/articles/PMC8666325/" TargetMode="External"/><Relationship Id="rId23" Type="http://schemas.openxmlformats.org/officeDocument/2006/relationships/hyperlink" Target="https://www.jmlr.org/papers/volume15/hoffman14a/hoffman14a.pdf" TargetMode="External"/><Relationship Id="rId36" Type="http://schemas.openxmlformats.org/officeDocument/2006/relationships/image" Target="media/image50.png"/><Relationship Id="rId49" Type="http://schemas.openxmlformats.org/officeDocument/2006/relationships/hyperlink" Target="https://doi.org/10.2807/1560-7917.ES.2023.28.17.2200382" TargetMode="External"/><Relationship Id="rId57" Type="http://schemas.openxmlformats.org/officeDocument/2006/relationships/hyperlink" Target="https://doi.org/10.1186/s12916-023-02802-0"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github.com/cokelaer/fitter" TargetMode="External"/><Relationship Id="rId1" Type="http://schemas.openxmlformats.org/officeDocument/2006/relationships/hyperlink" Target="https://www.ecdc.europa.eu/sites/default/files/documents/Variable_Dictionary_and_Disclaimer_non-pharmacautical_measures_v3.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Arial"/>
        <a:cs typeface="Arial"/>
      </a:majorFont>
      <a:minorFont>
        <a:latin typeface="Calibri"/>
        <a:ea typeface="Arial"/>
        <a:cs typeface="Arial"/>
      </a:minorFont>
    </a:fontScheme>
    <a:fmtScheme name="Office">
      <a:fillStyleLst>
        <a:solidFill>
          <a:schemeClr val="phClr"/>
        </a:solidFill>
        <a:gradFill>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solidFill>
          <a:schemeClr val="phClr">
            <a:tint val="95000"/>
            <a:satMod val="170000"/>
          </a:schemeClr>
        </a:solidFill>
        <a:gradFill>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w:settings xmlns:w="http://schemas.openxmlformats.org/wordprocessingml/2006/main">
  <w:SpecialFormsHighlight w:val="c9c8ff"/>
</w:setting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D0AEA6B-E499-4EEF-98A3-AFBB261C493E}">
  <ds:schemaRefs>
    <ds:schemaRef ds:uri="http://schemas.openxmlformats.org/wordprocessingml/2006/main"/>
  </ds:schemaRefs>
</ds:datastoreItem>
</file>

<file path=customXml/itemProps2.xml><?xml version="1.0" encoding="utf-8"?>
<ds:datastoreItem xmlns:ds="http://schemas.openxmlformats.org/officeDocument/2006/customXml" ds:itemID="{40DCF637-4D02-4753-BB0A-C32F6761E6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26</Pages>
  <Words>7781</Words>
  <Characters>44357</Characters>
  <Application>Microsoft Office Word</Application>
  <DocSecurity>0</DocSecurity>
  <Lines>369</Lines>
  <Paragraphs>104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52034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Hamed</dc:creator>
  <cp:keywords/>
  <dc:description/>
  <cp:lastModifiedBy>Hamed</cp:lastModifiedBy>
  <cp:revision>2</cp:revision>
  <dcterms:created xsi:type="dcterms:W3CDTF">2023-07-12T20:06:00Z</dcterms:created>
  <dcterms:modified xsi:type="dcterms:W3CDTF">2023-07-12T20:06:00Z</dcterms:modified>
</cp:coreProperties>
</file>