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Document.xml" ContentType="application/vnd.openxmlformats-officedocument.wordprocessingml.commentsIds+xml"/>
  <Override PartName="/word/commentsDocument.xml" ContentType="application/vnd.openxmlformats-officedocument.wordprocessingml.comments+xml"/>
  <Override PartName="/word/peopleDocument.xml" ContentType="application/vnd.openxmlformats-officedocument.wordprocessingml.people+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6D6C" w:rsidRPr="009872B0" w:rsidRDefault="002D7DE5">
      <w:pPr>
        <w:pStyle w:val="Heading1"/>
        <w:spacing w:line="360" w:lineRule="auto"/>
        <w:jc w:val="center"/>
        <w:rPr>
          <w:rFonts w:ascii="Times New Roman" w:hAnsi="Times New Roman" w:cs="Times New Roman"/>
          <w:color w:val="auto"/>
          <w:sz w:val="28"/>
          <w:szCs w:val="28"/>
        </w:rPr>
      </w:pPr>
      <w:r w:rsidRPr="009872B0">
        <w:rPr>
          <w:rFonts w:ascii="Times New Roman" w:hAnsi="Times New Roman" w:cs="Times New Roman"/>
          <w:color w:val="auto"/>
          <w:sz w:val="28"/>
          <w:szCs w:val="28"/>
        </w:rPr>
        <w:t>A deep learning approach to analyze the efficacy of government SARS-CoV-2 policies in European countries</w:t>
      </w:r>
    </w:p>
    <w:p w:rsidR="00896D6C" w:rsidRPr="009872B0" w:rsidRDefault="002D7DE5">
      <w:pPr>
        <w:pStyle w:val="Heading2"/>
        <w:spacing w:line="360" w:lineRule="auto"/>
        <w:rPr>
          <w:rFonts w:ascii="Times New Roman" w:hAnsi="Times New Roman" w:cs="Times New Roman"/>
          <w:sz w:val="28"/>
          <w:szCs w:val="28"/>
        </w:rPr>
      </w:pPr>
      <w:r w:rsidRPr="009872B0">
        <w:rPr>
          <w:rFonts w:ascii="Times New Roman" w:hAnsi="Times New Roman" w:cs="Times New Roman"/>
          <w:sz w:val="28"/>
          <w:szCs w:val="28"/>
        </w:rPr>
        <w:t>Abstract</w:t>
      </w:r>
    </w:p>
    <w:p w:rsidR="00896D6C" w:rsidRPr="009872B0" w:rsidRDefault="002D7DE5" w:rsidP="001412F3">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Even when the SARS-CoV-2 pandemic recedes, eviden</w:t>
      </w:r>
      <w:r w:rsidR="00424862">
        <w:rPr>
          <w:rFonts w:ascii="Times New Roman" w:hAnsi="Times New Roman" w:cs="Times New Roman"/>
          <w:sz w:val="24"/>
          <w:szCs w:val="24"/>
        </w:rPr>
        <w:t xml:space="preserve">ce based researches regarding </w:t>
      </w:r>
      <w:r w:rsidRPr="009872B0">
        <w:rPr>
          <w:rFonts w:ascii="Times New Roman" w:hAnsi="Times New Roman" w:cs="Times New Roman"/>
          <w:sz w:val="24"/>
          <w:szCs w:val="24"/>
        </w:rPr>
        <w:t xml:space="preserve">the effectiveness of pharmaceutical and non-pharmaceutical </w:t>
      </w:r>
      <w:r w:rsidR="00387A34" w:rsidRPr="009872B0">
        <w:rPr>
          <w:rFonts w:ascii="Times New Roman" w:hAnsi="Times New Roman" w:cs="Times New Roman"/>
          <w:sz w:val="24"/>
          <w:szCs w:val="24"/>
        </w:rPr>
        <w:t>governments</w:t>
      </w:r>
      <w:r w:rsidR="00387A34">
        <w:rPr>
          <w:rFonts w:ascii="Times New Roman" w:hAnsi="Times New Roman" w:cs="Times New Roman"/>
          <w:sz w:val="24"/>
          <w:szCs w:val="24"/>
        </w:rPr>
        <w:t xml:space="preserve"> interventions (NPIs) </w:t>
      </w:r>
      <w:r w:rsidR="00424862">
        <w:rPr>
          <w:rFonts w:ascii="Times New Roman" w:hAnsi="Times New Roman" w:cs="Times New Roman"/>
          <w:sz w:val="24"/>
          <w:szCs w:val="24"/>
        </w:rPr>
        <w:t>are</w:t>
      </w:r>
      <w:r w:rsidRPr="009872B0">
        <w:rPr>
          <w:rFonts w:ascii="Times New Roman" w:hAnsi="Times New Roman" w:cs="Times New Roman"/>
          <w:sz w:val="24"/>
          <w:szCs w:val="24"/>
        </w:rPr>
        <w:t xml:space="preserve"> ongoing.</w:t>
      </w:r>
      <w:r w:rsidR="00387A34">
        <w:rPr>
          <w:rFonts w:ascii="Times New Roman" w:hAnsi="Times New Roman" w:cs="Times New Roman"/>
          <w:sz w:val="24"/>
          <w:szCs w:val="24"/>
        </w:rPr>
        <w:t xml:space="preserve"> We</w:t>
      </w:r>
      <w:r w:rsidR="00387A34" w:rsidRPr="009872B0">
        <w:rPr>
          <w:rFonts w:ascii="Times New Roman" w:hAnsi="Times New Roman" w:cs="Times New Roman"/>
          <w:sz w:val="24"/>
          <w:szCs w:val="24"/>
        </w:rPr>
        <w:t xml:space="preserve"> utilize </w:t>
      </w:r>
      <w:r w:rsidR="00387A34">
        <w:rPr>
          <w:rFonts w:ascii="Times New Roman" w:hAnsi="Times New Roman" w:cs="Times New Roman"/>
          <w:sz w:val="24"/>
          <w:szCs w:val="24"/>
        </w:rPr>
        <w:t>Bayesian Convolutional Neural N</w:t>
      </w:r>
      <w:r w:rsidR="00387A34" w:rsidRPr="009872B0">
        <w:rPr>
          <w:rFonts w:ascii="Times New Roman" w:hAnsi="Times New Roman" w:cs="Times New Roman"/>
          <w:sz w:val="24"/>
          <w:szCs w:val="24"/>
        </w:rPr>
        <w:t>etworks</w:t>
      </w:r>
      <w:r w:rsidR="00387A34">
        <w:rPr>
          <w:rFonts w:ascii="Times New Roman" w:hAnsi="Times New Roman" w:cs="Times New Roman"/>
          <w:sz w:val="24"/>
          <w:szCs w:val="24"/>
        </w:rPr>
        <w:t xml:space="preserve"> (BCNNs)</w:t>
      </w:r>
      <w:r w:rsidR="00387A34" w:rsidRPr="009872B0">
        <w:rPr>
          <w:rFonts w:ascii="Times New Roman" w:hAnsi="Times New Roman" w:cs="Times New Roman"/>
          <w:sz w:val="24"/>
          <w:szCs w:val="24"/>
        </w:rPr>
        <w:t xml:space="preserve"> to examine the role of government policies based on the data of 30 European countries</w:t>
      </w:r>
      <w:r w:rsidR="00387A34">
        <w:rPr>
          <w:rFonts w:ascii="Times New Roman" w:hAnsi="Times New Roman" w:cs="Times New Roman"/>
          <w:sz w:val="24"/>
          <w:szCs w:val="24"/>
        </w:rPr>
        <w:t xml:space="preserve"> </w:t>
      </w:r>
      <w:r w:rsidR="00387A34" w:rsidRPr="009872B0">
        <w:rPr>
          <w:rFonts w:ascii="Times New Roman" w:hAnsi="Times New Roman" w:cs="Times New Roman"/>
          <w:sz w:val="24"/>
          <w:szCs w:val="24"/>
        </w:rPr>
        <w:t>from ear</w:t>
      </w:r>
      <w:r w:rsidR="00387A34">
        <w:rPr>
          <w:rFonts w:ascii="Times New Roman" w:hAnsi="Times New Roman" w:cs="Times New Roman"/>
          <w:sz w:val="24"/>
          <w:szCs w:val="24"/>
        </w:rPr>
        <w:t xml:space="preserve">ly 2020 up to the middle of </w:t>
      </w:r>
      <w:r w:rsidR="000F01E0">
        <w:rPr>
          <w:rFonts w:ascii="Times New Roman" w:hAnsi="Times New Roman" w:cs="Times New Roman"/>
          <w:sz w:val="24"/>
          <w:szCs w:val="24"/>
        </w:rPr>
        <w:t xml:space="preserve">the year </w:t>
      </w:r>
      <w:r w:rsidR="00387A34">
        <w:rPr>
          <w:rFonts w:ascii="Times New Roman" w:hAnsi="Times New Roman" w:cs="Times New Roman"/>
          <w:sz w:val="24"/>
          <w:szCs w:val="24"/>
        </w:rPr>
        <w:t>2022</w:t>
      </w:r>
      <w:r w:rsidR="00387A34" w:rsidRPr="009872B0">
        <w:rPr>
          <w:rFonts w:ascii="Times New Roman" w:hAnsi="Times New Roman" w:cs="Times New Roman"/>
          <w:sz w:val="24"/>
          <w:szCs w:val="24"/>
        </w:rPr>
        <w:t>.</w:t>
      </w:r>
      <w:r w:rsidRPr="009872B0">
        <w:rPr>
          <w:rFonts w:ascii="Times New Roman" w:hAnsi="Times New Roman" w:cs="Times New Roman"/>
          <w:sz w:val="24"/>
          <w:szCs w:val="24"/>
        </w:rPr>
        <w:t xml:space="preserve"> </w:t>
      </w:r>
      <w:r w:rsidR="00387A34">
        <w:rPr>
          <w:rFonts w:ascii="Times New Roman" w:hAnsi="Times New Roman" w:cs="Times New Roman"/>
          <w:sz w:val="24"/>
          <w:szCs w:val="24"/>
        </w:rPr>
        <w:t>BCNNs are</w:t>
      </w:r>
      <w:r w:rsidR="00424862">
        <w:rPr>
          <w:rFonts w:ascii="Times New Roman" w:hAnsi="Times New Roman" w:cs="Times New Roman"/>
          <w:sz w:val="24"/>
          <w:szCs w:val="24"/>
        </w:rPr>
        <w:t xml:space="preserve"> artificial intelligence</w:t>
      </w:r>
      <w:r w:rsidR="00154FBE">
        <w:rPr>
          <w:rFonts w:ascii="Times New Roman" w:hAnsi="Times New Roman" w:cs="Times New Roman"/>
          <w:sz w:val="24"/>
          <w:szCs w:val="24"/>
        </w:rPr>
        <w:t xml:space="preserve"> tools, which are </w:t>
      </w:r>
      <w:r w:rsidR="00387A34">
        <w:rPr>
          <w:rFonts w:ascii="Times New Roman" w:hAnsi="Times New Roman" w:cs="Times New Roman"/>
          <w:sz w:val="24"/>
          <w:szCs w:val="24"/>
        </w:rPr>
        <w:t xml:space="preserve">conventionally </w:t>
      </w:r>
      <w:r w:rsidR="00154FBE" w:rsidRPr="009872B0">
        <w:rPr>
          <w:rFonts w:ascii="Times New Roman" w:hAnsi="Times New Roman" w:cs="Times New Roman"/>
          <w:sz w:val="24"/>
          <w:szCs w:val="24"/>
        </w:rPr>
        <w:t xml:space="preserve">used to solve image </w:t>
      </w:r>
      <w:r w:rsidR="00424862">
        <w:rPr>
          <w:rFonts w:ascii="Times New Roman" w:hAnsi="Times New Roman" w:cs="Times New Roman"/>
          <w:sz w:val="24"/>
          <w:szCs w:val="24"/>
        </w:rPr>
        <w:t>recognition</w:t>
      </w:r>
      <w:r w:rsidR="00154FBE" w:rsidRPr="009872B0">
        <w:rPr>
          <w:rFonts w:ascii="Times New Roman" w:hAnsi="Times New Roman" w:cs="Times New Roman"/>
          <w:sz w:val="24"/>
          <w:szCs w:val="24"/>
        </w:rPr>
        <w:t xml:space="preserve"> tasks. In this paper, however, we are making use of </w:t>
      </w:r>
      <w:r w:rsidR="00424862">
        <w:rPr>
          <w:rFonts w:ascii="Times New Roman" w:hAnsi="Times New Roman" w:cs="Times New Roman"/>
          <w:sz w:val="24"/>
          <w:szCs w:val="24"/>
        </w:rPr>
        <w:t>B</w:t>
      </w:r>
      <w:r w:rsidR="00154FBE" w:rsidRPr="009872B0">
        <w:rPr>
          <w:rFonts w:ascii="Times New Roman" w:hAnsi="Times New Roman" w:cs="Times New Roman"/>
          <w:sz w:val="24"/>
          <w:szCs w:val="24"/>
        </w:rPr>
        <w:t>CNNs in a novel context</w:t>
      </w:r>
      <w:r w:rsidR="00387A34">
        <w:rPr>
          <w:rFonts w:ascii="Times New Roman" w:hAnsi="Times New Roman" w:cs="Times New Roman"/>
          <w:sz w:val="24"/>
          <w:szCs w:val="24"/>
        </w:rPr>
        <w:t>.</w:t>
      </w:r>
      <w:r w:rsidR="00154FBE">
        <w:rPr>
          <w:rFonts w:ascii="Times New Roman" w:hAnsi="Times New Roman" w:cs="Times New Roman"/>
          <w:sz w:val="24"/>
          <w:szCs w:val="24"/>
        </w:rPr>
        <w:t xml:space="preserve"> </w:t>
      </w:r>
      <w:r w:rsidR="00387A34">
        <w:rPr>
          <w:rFonts w:ascii="Times New Roman" w:hAnsi="Times New Roman" w:cs="Times New Roman"/>
          <w:sz w:val="24"/>
          <w:szCs w:val="24"/>
        </w:rPr>
        <w:t>We convert</w:t>
      </w:r>
      <w:r w:rsidR="00154FBE">
        <w:rPr>
          <w:rFonts w:ascii="Times New Roman" w:hAnsi="Times New Roman" w:cs="Times New Roman"/>
          <w:sz w:val="24"/>
          <w:szCs w:val="24"/>
        </w:rPr>
        <w:t xml:space="preserve"> </w:t>
      </w:r>
      <w:r w:rsidR="00154FBE" w:rsidRPr="009872B0">
        <w:rPr>
          <w:rFonts w:ascii="Times New Roman" w:hAnsi="Times New Roman" w:cs="Times New Roman"/>
          <w:sz w:val="24"/>
          <w:szCs w:val="24"/>
        </w:rPr>
        <w:t xml:space="preserve">a comprehensive set of </w:t>
      </w:r>
      <w:r w:rsidR="00387A34" w:rsidRPr="009872B0">
        <w:rPr>
          <w:rFonts w:ascii="Times New Roman" w:hAnsi="Times New Roman" w:cs="Times New Roman"/>
          <w:sz w:val="24"/>
          <w:szCs w:val="24"/>
        </w:rPr>
        <w:t xml:space="preserve">SARS-CoV-2 pandemic </w:t>
      </w:r>
      <w:r w:rsidR="00387A34">
        <w:rPr>
          <w:rFonts w:ascii="Times New Roman" w:hAnsi="Times New Roman" w:cs="Times New Roman"/>
          <w:sz w:val="24"/>
          <w:szCs w:val="24"/>
        </w:rPr>
        <w:t>influential factors comprising country types, each country</w:t>
      </w:r>
      <w:r w:rsidR="00154FBE" w:rsidRPr="009872B0">
        <w:rPr>
          <w:rFonts w:ascii="Times New Roman" w:hAnsi="Times New Roman" w:cs="Times New Roman"/>
          <w:sz w:val="24"/>
          <w:szCs w:val="24"/>
        </w:rPr>
        <w:t>’</w:t>
      </w:r>
      <w:r w:rsidR="00387A34">
        <w:rPr>
          <w:rFonts w:ascii="Times New Roman" w:hAnsi="Times New Roman" w:cs="Times New Roman"/>
          <w:sz w:val="24"/>
          <w:szCs w:val="24"/>
        </w:rPr>
        <w:t xml:space="preserve">s NPIs, </w:t>
      </w:r>
      <w:r w:rsidR="00424862">
        <w:rPr>
          <w:rFonts w:ascii="Times New Roman" w:hAnsi="Times New Roman" w:cs="Times New Roman"/>
          <w:sz w:val="24"/>
          <w:szCs w:val="24"/>
        </w:rPr>
        <w:t>vaccination policies</w:t>
      </w:r>
      <w:r w:rsidR="00154FBE" w:rsidRPr="009872B0">
        <w:rPr>
          <w:rFonts w:ascii="Times New Roman" w:hAnsi="Times New Roman" w:cs="Times New Roman"/>
          <w:sz w:val="24"/>
          <w:szCs w:val="24"/>
        </w:rPr>
        <w:t xml:space="preserve">, </w:t>
      </w:r>
      <w:r w:rsidR="00387A34">
        <w:rPr>
          <w:rFonts w:ascii="Times New Roman" w:hAnsi="Times New Roman" w:cs="Times New Roman"/>
          <w:sz w:val="24"/>
          <w:szCs w:val="24"/>
        </w:rPr>
        <w:t xml:space="preserve">distribution of </w:t>
      </w:r>
      <w:r w:rsidR="00154FBE" w:rsidRPr="009872B0">
        <w:rPr>
          <w:rFonts w:ascii="Times New Roman" w:hAnsi="Times New Roman" w:cs="Times New Roman"/>
          <w:sz w:val="24"/>
          <w:szCs w:val="24"/>
        </w:rPr>
        <w:t xml:space="preserve">various virus </w:t>
      </w:r>
      <w:r w:rsidR="00161CF9">
        <w:rPr>
          <w:rFonts w:ascii="Times New Roman" w:hAnsi="Times New Roman" w:cs="Times New Roman"/>
          <w:sz w:val="24"/>
          <w:szCs w:val="24"/>
        </w:rPr>
        <w:t>variant</w:t>
      </w:r>
      <w:r w:rsidR="00154FBE" w:rsidRPr="009872B0">
        <w:rPr>
          <w:rFonts w:ascii="Times New Roman" w:hAnsi="Times New Roman" w:cs="Times New Roman"/>
          <w:sz w:val="24"/>
          <w:szCs w:val="24"/>
        </w:rPr>
        <w:t>s</w:t>
      </w:r>
      <w:r w:rsidR="00387A34">
        <w:rPr>
          <w:rFonts w:ascii="Times New Roman" w:hAnsi="Times New Roman" w:cs="Times New Roman"/>
          <w:sz w:val="24"/>
          <w:szCs w:val="24"/>
        </w:rPr>
        <w:t xml:space="preserve"> through the time</w:t>
      </w:r>
      <w:r w:rsidR="00154FBE" w:rsidRPr="009872B0">
        <w:rPr>
          <w:rFonts w:ascii="Times New Roman" w:hAnsi="Times New Roman" w:cs="Times New Roman"/>
          <w:sz w:val="24"/>
          <w:szCs w:val="24"/>
        </w:rPr>
        <w:t xml:space="preserve"> </w:t>
      </w:r>
      <w:r w:rsidR="00387A34">
        <w:rPr>
          <w:rFonts w:ascii="Times New Roman" w:hAnsi="Times New Roman" w:cs="Times New Roman"/>
          <w:sz w:val="24"/>
          <w:szCs w:val="24"/>
        </w:rPr>
        <w:t>as well as</w:t>
      </w:r>
      <w:r w:rsidR="00154FBE" w:rsidRPr="009872B0">
        <w:rPr>
          <w:rFonts w:ascii="Times New Roman" w:hAnsi="Times New Roman" w:cs="Times New Roman"/>
          <w:sz w:val="24"/>
          <w:szCs w:val="24"/>
        </w:rPr>
        <w:t xml:space="preserve"> seasonality aspects</w:t>
      </w:r>
      <w:r w:rsidR="00424862">
        <w:rPr>
          <w:rFonts w:ascii="Times New Roman" w:hAnsi="Times New Roman" w:cs="Times New Roman"/>
          <w:sz w:val="24"/>
          <w:szCs w:val="24"/>
        </w:rPr>
        <w:t xml:space="preserve"> into</w:t>
      </w:r>
      <w:r w:rsidR="00161CF9">
        <w:rPr>
          <w:rFonts w:ascii="Times New Roman" w:hAnsi="Times New Roman" w:cs="Times New Roman"/>
          <w:sz w:val="24"/>
          <w:szCs w:val="24"/>
        </w:rPr>
        <w:t xml:space="preserve"> </w:t>
      </w:r>
      <w:r w:rsidR="00154FBE">
        <w:rPr>
          <w:rFonts w:ascii="Times New Roman" w:hAnsi="Times New Roman" w:cs="Times New Roman"/>
          <w:sz w:val="24"/>
          <w:szCs w:val="24"/>
        </w:rPr>
        <w:t>one dimensional image</w:t>
      </w:r>
      <w:r w:rsidR="00A439FD">
        <w:rPr>
          <w:rFonts w:ascii="Times New Roman" w:hAnsi="Times New Roman" w:cs="Times New Roman"/>
          <w:sz w:val="24"/>
          <w:szCs w:val="24"/>
        </w:rPr>
        <w:t>s</w:t>
      </w:r>
      <w:r w:rsidR="00154FBE">
        <w:rPr>
          <w:rFonts w:ascii="Times New Roman" w:hAnsi="Times New Roman" w:cs="Times New Roman"/>
          <w:sz w:val="24"/>
          <w:szCs w:val="24"/>
        </w:rPr>
        <w:t xml:space="preserve"> and </w:t>
      </w:r>
      <w:r w:rsidR="00A439FD">
        <w:rPr>
          <w:rFonts w:ascii="Times New Roman" w:hAnsi="Times New Roman" w:cs="Times New Roman"/>
          <w:sz w:val="24"/>
          <w:szCs w:val="24"/>
        </w:rPr>
        <w:t>train a deep learning model to predict</w:t>
      </w:r>
      <w:r w:rsidR="00154FBE" w:rsidRPr="009872B0">
        <w:rPr>
          <w:rFonts w:ascii="Times New Roman" w:hAnsi="Times New Roman" w:cs="Times New Roman"/>
          <w:sz w:val="24"/>
          <w:szCs w:val="24"/>
        </w:rPr>
        <w:t xml:space="preserve"> the </w:t>
      </w:r>
      <w:r w:rsidR="00424862">
        <w:rPr>
          <w:rFonts w:ascii="Times New Roman" w:hAnsi="Times New Roman" w:cs="Times New Roman"/>
          <w:sz w:val="24"/>
          <w:szCs w:val="24"/>
        </w:rPr>
        <w:t>impact</w:t>
      </w:r>
      <w:r w:rsidR="00154FBE" w:rsidRPr="009872B0">
        <w:rPr>
          <w:rFonts w:ascii="Times New Roman" w:hAnsi="Times New Roman" w:cs="Times New Roman"/>
          <w:sz w:val="24"/>
          <w:szCs w:val="24"/>
        </w:rPr>
        <w:t xml:space="preserve"> of</w:t>
      </w:r>
      <w:r w:rsidR="00424862">
        <w:rPr>
          <w:rFonts w:ascii="Times New Roman" w:hAnsi="Times New Roman" w:cs="Times New Roman"/>
          <w:sz w:val="24"/>
          <w:szCs w:val="24"/>
        </w:rPr>
        <w:t xml:space="preserve"> the set of </w:t>
      </w:r>
      <w:r w:rsidR="00161CF9">
        <w:rPr>
          <w:rFonts w:ascii="Times New Roman" w:hAnsi="Times New Roman" w:cs="Times New Roman"/>
          <w:sz w:val="24"/>
          <w:szCs w:val="24"/>
        </w:rPr>
        <w:t>the pandemic influential</w:t>
      </w:r>
      <w:r w:rsidR="00424862">
        <w:rPr>
          <w:rFonts w:ascii="Times New Roman" w:hAnsi="Times New Roman" w:cs="Times New Roman"/>
          <w:sz w:val="24"/>
          <w:szCs w:val="24"/>
        </w:rPr>
        <w:t xml:space="preserve"> factors on the spread of the virus</w:t>
      </w:r>
      <w:r w:rsidR="00387A34">
        <w:rPr>
          <w:rFonts w:ascii="Times New Roman" w:hAnsi="Times New Roman" w:cs="Times New Roman"/>
          <w:sz w:val="24"/>
          <w:szCs w:val="24"/>
        </w:rPr>
        <w:t xml:space="preserve">. </w:t>
      </w:r>
      <w:r w:rsidR="00424862">
        <w:rPr>
          <w:rFonts w:ascii="Times New Roman" w:hAnsi="Times New Roman" w:cs="Times New Roman"/>
          <w:sz w:val="24"/>
          <w:szCs w:val="24"/>
        </w:rPr>
        <w:t>The assessment</w:t>
      </w:r>
      <w:r w:rsidR="00161CF9">
        <w:rPr>
          <w:rFonts w:ascii="Times New Roman" w:hAnsi="Times New Roman" w:cs="Times New Roman"/>
          <w:sz w:val="24"/>
          <w:szCs w:val="24"/>
        </w:rPr>
        <w:t>s</w:t>
      </w:r>
      <w:r w:rsidR="00424862">
        <w:rPr>
          <w:rFonts w:ascii="Times New Roman" w:hAnsi="Times New Roman" w:cs="Times New Roman"/>
          <w:sz w:val="24"/>
          <w:szCs w:val="24"/>
        </w:rPr>
        <w:t xml:space="preserve"> </w:t>
      </w:r>
      <w:r w:rsidR="001412F3">
        <w:rPr>
          <w:rFonts w:ascii="Times New Roman" w:hAnsi="Times New Roman" w:cs="Times New Roman"/>
          <w:sz w:val="24"/>
          <w:szCs w:val="24"/>
        </w:rPr>
        <w:t xml:space="preserve">lend </w:t>
      </w:r>
      <w:r w:rsidR="001412F3" w:rsidRPr="001412F3">
        <w:rPr>
          <w:rFonts w:ascii="Times New Roman" w:hAnsi="Times New Roman" w:cs="Times New Roman"/>
          <w:sz w:val="24"/>
          <w:szCs w:val="24"/>
        </w:rPr>
        <w:t xml:space="preserve">themselves </w:t>
      </w:r>
      <w:r w:rsidR="001412F3">
        <w:rPr>
          <w:rFonts w:ascii="Times New Roman" w:hAnsi="Times New Roman" w:cs="Times New Roman"/>
          <w:sz w:val="24"/>
          <w:szCs w:val="24"/>
        </w:rPr>
        <w:t>to inform public health policy and contribute to reasonable selection of prevention policies in the subsequent or future epidemics</w:t>
      </w:r>
      <w:r w:rsidRPr="009872B0">
        <w:rPr>
          <w:rFonts w:ascii="Times New Roman" w:hAnsi="Times New Roman" w:cs="Times New Roman"/>
          <w:sz w:val="24"/>
          <w:szCs w:val="24"/>
        </w:rPr>
        <w:t>.</w:t>
      </w:r>
    </w:p>
    <w:p w:rsidR="00896D6C" w:rsidRPr="009872B0" w:rsidRDefault="002D7DE5">
      <w:pPr>
        <w:pStyle w:val="Heading2"/>
        <w:numPr>
          <w:ilvl w:val="0"/>
          <w:numId w:val="5"/>
        </w:numPr>
        <w:spacing w:line="360" w:lineRule="auto"/>
        <w:rPr>
          <w:rFonts w:ascii="Times New Roman" w:hAnsi="Times New Roman" w:cs="Times New Roman"/>
          <w:sz w:val="28"/>
          <w:szCs w:val="28"/>
        </w:rPr>
      </w:pPr>
      <w:r w:rsidRPr="009872B0">
        <w:rPr>
          <w:rFonts w:ascii="Times New Roman" w:hAnsi="Times New Roman" w:cs="Times New Roman"/>
          <w:sz w:val="28"/>
          <w:szCs w:val="28"/>
        </w:rPr>
        <w:t>Introduction</w:t>
      </w:r>
    </w:p>
    <w:p w:rsidR="00896D6C" w:rsidRPr="009872B0" w:rsidRDefault="002D7DE5" w:rsidP="003D7DB8">
      <w:pPr>
        <w:spacing w:after="0"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While governments’ vaccination and non-pharmaceutical interventions (NPI) are generally acknowledged to control the spread of the virus during the recent SARS-CoV-2 pandemic, evidence-based research in order to convey analysis regarding the effectiveness of the governments’ policies – are proceeding. Our research aims at running a comprehensive deep learning </w:t>
      </w:r>
      <w:r w:rsidR="003D7DB8">
        <w:rPr>
          <w:rFonts w:ascii="Times New Roman" w:hAnsi="Times New Roman" w:cs="Times New Roman"/>
          <w:sz w:val="24"/>
          <w:szCs w:val="24"/>
        </w:rPr>
        <w:t>model</w:t>
      </w:r>
      <w:r w:rsidRPr="009872B0">
        <w:rPr>
          <w:rFonts w:ascii="Times New Roman" w:hAnsi="Times New Roman" w:cs="Times New Roman"/>
          <w:sz w:val="24"/>
          <w:szCs w:val="24"/>
        </w:rPr>
        <w:t xml:space="preserve"> capable to draw inferences from the data of European countries’ government policies between the early 2020 up to the middle of</w:t>
      </w:r>
      <w:r w:rsidR="003D7DB8">
        <w:rPr>
          <w:rFonts w:ascii="Times New Roman" w:hAnsi="Times New Roman" w:cs="Times New Roman"/>
          <w:sz w:val="24"/>
          <w:szCs w:val="24"/>
        </w:rPr>
        <w:t xml:space="preserve"> the year</w:t>
      </w:r>
      <w:r w:rsidRPr="009872B0">
        <w:rPr>
          <w:rFonts w:ascii="Times New Roman" w:hAnsi="Times New Roman" w:cs="Times New Roman"/>
          <w:sz w:val="24"/>
          <w:szCs w:val="24"/>
        </w:rPr>
        <w:t xml:space="preserve"> 2022. </w:t>
      </w:r>
    </w:p>
    <w:p w:rsidR="00896D6C" w:rsidRPr="009872B0" w:rsidRDefault="002D7DE5" w:rsidP="006C7DD9">
      <w:pPr>
        <w:spacing w:after="0" w:line="360" w:lineRule="auto"/>
        <w:jc w:val="both"/>
        <w:rPr>
          <w:rFonts w:ascii="Times New Roman" w:hAnsi="Times New Roman" w:cs="Times New Roman"/>
          <w:sz w:val="24"/>
          <w:szCs w:val="24"/>
        </w:rPr>
      </w:pPr>
      <w:r w:rsidRPr="009872B0">
        <w:rPr>
          <w:rFonts w:ascii="Times New Roman" w:hAnsi="Times New Roman" w:cs="Times New Roman"/>
          <w:sz w:val="24"/>
          <w:szCs w:val="24"/>
        </w:rPr>
        <w:t>A number of preceding studies have estimated the effectiveness of vaccination policies and NPIs across different spatial and temporal scopes of the globe relying on different input variables and analytical approaches</w:t>
      </w:r>
      <w:r w:rsidR="006C7DD9">
        <w:rPr>
          <w:rFonts w:ascii="Times New Roman" w:hAnsi="Times New Roman" w:cs="Times New Roman"/>
          <w:sz w:val="24"/>
          <w:szCs w:val="24"/>
        </w:rPr>
        <w:t>. The outcomes of the existing literature</w:t>
      </w:r>
      <w:r w:rsidRPr="009872B0">
        <w:rPr>
          <w:rFonts w:ascii="Times New Roman" w:hAnsi="Times New Roman" w:cs="Times New Roman"/>
          <w:sz w:val="24"/>
          <w:szCs w:val="24"/>
        </w:rPr>
        <w:t xml:space="preserve"> are partially overlapping but simultaneously are not entirely consistent with each other. </w:t>
      </w:r>
      <w:r w:rsidR="006C7DD9">
        <w:rPr>
          <w:rFonts w:ascii="Times New Roman" w:hAnsi="Times New Roman" w:cs="Times New Roman"/>
          <w:sz w:val="24"/>
          <w:szCs w:val="24"/>
        </w:rPr>
        <w:t>Hence, e</w:t>
      </w:r>
      <w:r w:rsidRPr="009872B0">
        <w:rPr>
          <w:rFonts w:ascii="Times New Roman" w:hAnsi="Times New Roman" w:cs="Times New Roman"/>
          <w:sz w:val="24"/>
          <w:szCs w:val="24"/>
        </w:rPr>
        <w:t xml:space="preserve">xploring more insights with </w:t>
      </w:r>
      <w:r w:rsidRPr="009872B0">
        <w:rPr>
          <w:rFonts w:ascii="Times New Roman" w:hAnsi="Times New Roman" w:cs="Times New Roman"/>
          <w:sz w:val="24"/>
          <w:szCs w:val="24"/>
        </w:rPr>
        <w:lastRenderedPageBreak/>
        <w:t xml:space="preserve">regard to the control of the epidemic growth requires further incorporation of advanced approaches. </w:t>
      </w:r>
    </w:p>
    <w:p w:rsidR="00896D6C" w:rsidRPr="009872B0" w:rsidRDefault="002D7DE5" w:rsidP="00A74546">
      <w:pPr>
        <w:spacing w:after="0"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Deep neural networks are powerful computational approaches that can process unprecedented volumes of data. </w:t>
      </w:r>
      <w:r w:rsidR="00A74546">
        <w:rPr>
          <w:rFonts w:ascii="Times New Roman" w:hAnsi="Times New Roman" w:cs="Times New Roman"/>
          <w:sz w:val="24"/>
          <w:szCs w:val="24"/>
        </w:rPr>
        <w:t>W</w:t>
      </w:r>
      <w:r w:rsidRPr="009872B0">
        <w:rPr>
          <w:rFonts w:ascii="Times New Roman" w:hAnsi="Times New Roman" w:cs="Times New Roman"/>
          <w:sz w:val="24"/>
          <w:szCs w:val="24"/>
        </w:rPr>
        <w:t xml:space="preserve">e construct a deep </w:t>
      </w:r>
      <w:r w:rsidR="002D21EA" w:rsidRPr="009872B0">
        <w:rPr>
          <w:rFonts w:ascii="Times New Roman" w:hAnsi="Times New Roman" w:cs="Times New Roman"/>
          <w:sz w:val="24"/>
          <w:szCs w:val="24"/>
        </w:rPr>
        <w:t>neural network</w:t>
      </w:r>
      <w:r w:rsidRPr="009872B0">
        <w:rPr>
          <w:rFonts w:ascii="Times New Roman" w:hAnsi="Times New Roman" w:cs="Times New Roman"/>
          <w:sz w:val="24"/>
          <w:szCs w:val="24"/>
        </w:rPr>
        <w:t xml:space="preserve"> incorporating a comprehensive </w:t>
      </w:r>
      <w:r w:rsidR="00A74546">
        <w:rPr>
          <w:rFonts w:ascii="Times New Roman" w:hAnsi="Times New Roman" w:cs="Times New Roman"/>
          <w:sz w:val="24"/>
          <w:szCs w:val="24"/>
        </w:rPr>
        <w:t>set</w:t>
      </w:r>
      <w:r w:rsidRPr="009872B0">
        <w:rPr>
          <w:rFonts w:ascii="Times New Roman" w:hAnsi="Times New Roman" w:cs="Times New Roman"/>
          <w:sz w:val="24"/>
          <w:szCs w:val="24"/>
        </w:rPr>
        <w:t xml:space="preserve"> of </w:t>
      </w:r>
      <w:r w:rsidR="002D21EA">
        <w:rPr>
          <w:rFonts w:ascii="Times New Roman" w:hAnsi="Times New Roman" w:cs="Times New Roman"/>
          <w:sz w:val="24"/>
          <w:szCs w:val="24"/>
        </w:rPr>
        <w:t xml:space="preserve">SARS-CoV-2 pandemic </w:t>
      </w:r>
      <w:r w:rsidRPr="009872B0">
        <w:rPr>
          <w:rFonts w:ascii="Times New Roman" w:hAnsi="Times New Roman" w:cs="Times New Roman"/>
          <w:sz w:val="24"/>
          <w:szCs w:val="24"/>
        </w:rPr>
        <w:t xml:space="preserve">influential factors </w:t>
      </w:r>
      <w:r w:rsidR="000348D6">
        <w:rPr>
          <w:rFonts w:ascii="Times New Roman" w:hAnsi="Times New Roman" w:cs="Times New Roman"/>
          <w:sz w:val="24"/>
          <w:szCs w:val="24"/>
        </w:rPr>
        <w:t>comprising</w:t>
      </w:r>
      <w:r w:rsidRPr="009872B0">
        <w:rPr>
          <w:rFonts w:ascii="Times New Roman" w:hAnsi="Times New Roman" w:cs="Times New Roman"/>
          <w:sz w:val="24"/>
          <w:szCs w:val="24"/>
        </w:rPr>
        <w:t xml:space="preserve"> the government NPIs, vaccination policies and with bearing the effect of country</w:t>
      </w:r>
      <w:r w:rsidR="002D21EA">
        <w:rPr>
          <w:rFonts w:ascii="Times New Roman" w:hAnsi="Times New Roman" w:cs="Times New Roman"/>
          <w:sz w:val="24"/>
          <w:szCs w:val="24"/>
        </w:rPr>
        <w:t xml:space="preserve"> types</w:t>
      </w:r>
      <w:r w:rsidRPr="009872B0">
        <w:rPr>
          <w:rFonts w:ascii="Times New Roman" w:hAnsi="Times New Roman" w:cs="Times New Roman"/>
          <w:sz w:val="24"/>
          <w:szCs w:val="24"/>
        </w:rPr>
        <w:t xml:space="preserve">, </w:t>
      </w:r>
      <w:r w:rsidR="002D21EA">
        <w:rPr>
          <w:rFonts w:ascii="Times New Roman" w:hAnsi="Times New Roman" w:cs="Times New Roman"/>
          <w:sz w:val="24"/>
          <w:szCs w:val="24"/>
        </w:rPr>
        <w:t xml:space="preserve">distribution of </w:t>
      </w:r>
      <w:r w:rsidRPr="009872B0">
        <w:rPr>
          <w:rFonts w:ascii="Times New Roman" w:hAnsi="Times New Roman" w:cs="Times New Roman"/>
          <w:sz w:val="24"/>
          <w:szCs w:val="24"/>
        </w:rPr>
        <w:t xml:space="preserve">various virus mutants and seasonality </w:t>
      </w:r>
      <w:r w:rsidR="002D21EA">
        <w:rPr>
          <w:rFonts w:ascii="Times New Roman" w:hAnsi="Times New Roman" w:cs="Times New Roman"/>
          <w:sz w:val="24"/>
          <w:szCs w:val="24"/>
        </w:rPr>
        <w:t>aspects</w:t>
      </w:r>
      <w:r w:rsidRPr="009872B0">
        <w:rPr>
          <w:rFonts w:ascii="Times New Roman" w:hAnsi="Times New Roman" w:cs="Times New Roman"/>
          <w:sz w:val="24"/>
          <w:szCs w:val="24"/>
        </w:rPr>
        <w:t xml:space="preserve"> into </w:t>
      </w:r>
      <w:r w:rsidR="00A74546">
        <w:rPr>
          <w:rFonts w:ascii="Times New Roman" w:hAnsi="Times New Roman" w:cs="Times New Roman"/>
          <w:sz w:val="24"/>
          <w:szCs w:val="24"/>
        </w:rPr>
        <w:t xml:space="preserve">the </w:t>
      </w:r>
      <w:r w:rsidRPr="009872B0">
        <w:rPr>
          <w:rFonts w:ascii="Times New Roman" w:hAnsi="Times New Roman" w:cs="Times New Roman"/>
          <w:sz w:val="24"/>
          <w:szCs w:val="24"/>
        </w:rPr>
        <w:t>account based on the data from 30 European countries.</w:t>
      </w:r>
      <w:r w:rsidR="000348D6">
        <w:rPr>
          <w:rFonts w:ascii="Times New Roman" w:hAnsi="Times New Roman" w:cs="Times New Roman"/>
          <w:sz w:val="24"/>
          <w:szCs w:val="24"/>
        </w:rPr>
        <w:t xml:space="preserve"> Thereby, we make use of Bayesian C</w:t>
      </w:r>
      <w:r w:rsidR="000348D6" w:rsidRPr="009872B0">
        <w:rPr>
          <w:rFonts w:ascii="Times New Roman" w:hAnsi="Times New Roman" w:cs="Times New Roman"/>
          <w:sz w:val="24"/>
          <w:szCs w:val="24"/>
        </w:rPr>
        <w:t xml:space="preserve">onvolutional </w:t>
      </w:r>
      <w:r w:rsidR="000348D6">
        <w:rPr>
          <w:rFonts w:ascii="Times New Roman" w:hAnsi="Times New Roman" w:cs="Times New Roman"/>
          <w:sz w:val="24"/>
          <w:szCs w:val="24"/>
        </w:rPr>
        <w:t xml:space="preserve">Neural </w:t>
      </w:r>
      <w:r w:rsidR="002D21EA">
        <w:rPr>
          <w:rFonts w:ascii="Times New Roman" w:hAnsi="Times New Roman" w:cs="Times New Roman"/>
          <w:sz w:val="24"/>
          <w:szCs w:val="24"/>
        </w:rPr>
        <w:t>N</w:t>
      </w:r>
      <w:r w:rsidR="002D21EA" w:rsidRPr="009872B0">
        <w:rPr>
          <w:rFonts w:ascii="Times New Roman" w:hAnsi="Times New Roman" w:cs="Times New Roman"/>
          <w:sz w:val="24"/>
          <w:szCs w:val="24"/>
        </w:rPr>
        <w:t xml:space="preserve">etwork </w:t>
      </w:r>
      <w:r w:rsidR="002D21EA">
        <w:rPr>
          <w:rFonts w:ascii="Times New Roman" w:hAnsi="Times New Roman" w:cs="Times New Roman"/>
          <w:sz w:val="24"/>
          <w:szCs w:val="24"/>
        </w:rPr>
        <w:t>(</w:t>
      </w:r>
      <w:r w:rsidR="00D83221">
        <w:rPr>
          <w:rFonts w:ascii="Times New Roman" w:hAnsi="Times New Roman" w:cs="Times New Roman"/>
          <w:sz w:val="24"/>
          <w:szCs w:val="24"/>
        </w:rPr>
        <w:t>BCNNs)</w:t>
      </w:r>
      <w:r w:rsidR="000348D6">
        <w:rPr>
          <w:rFonts w:ascii="Times New Roman" w:hAnsi="Times New Roman" w:cs="Times New Roman"/>
          <w:sz w:val="24"/>
          <w:szCs w:val="24"/>
        </w:rPr>
        <w:t xml:space="preserve">, which are conventionally </w:t>
      </w:r>
      <w:r w:rsidR="000348D6" w:rsidRPr="009872B0">
        <w:rPr>
          <w:rFonts w:ascii="Times New Roman" w:hAnsi="Times New Roman" w:cs="Times New Roman"/>
          <w:sz w:val="24"/>
          <w:szCs w:val="24"/>
        </w:rPr>
        <w:t xml:space="preserve">used to solve image </w:t>
      </w:r>
      <w:r w:rsidR="000348D6">
        <w:rPr>
          <w:rFonts w:ascii="Times New Roman" w:hAnsi="Times New Roman" w:cs="Times New Roman"/>
          <w:sz w:val="24"/>
          <w:szCs w:val="24"/>
        </w:rPr>
        <w:t>recognition</w:t>
      </w:r>
      <w:r w:rsidR="000348D6" w:rsidRPr="009872B0">
        <w:rPr>
          <w:rFonts w:ascii="Times New Roman" w:hAnsi="Times New Roman" w:cs="Times New Roman"/>
          <w:sz w:val="24"/>
          <w:szCs w:val="24"/>
        </w:rPr>
        <w:t xml:space="preserve"> tasks. In this paper, however, we </w:t>
      </w:r>
      <w:r w:rsidR="00A74546">
        <w:rPr>
          <w:rFonts w:ascii="Times New Roman" w:hAnsi="Times New Roman" w:cs="Times New Roman"/>
          <w:sz w:val="24"/>
          <w:szCs w:val="24"/>
        </w:rPr>
        <w:t>make</w:t>
      </w:r>
      <w:r w:rsidR="000348D6" w:rsidRPr="009872B0">
        <w:rPr>
          <w:rFonts w:ascii="Times New Roman" w:hAnsi="Times New Roman" w:cs="Times New Roman"/>
          <w:sz w:val="24"/>
          <w:szCs w:val="24"/>
        </w:rPr>
        <w:t xml:space="preserve"> use of </w:t>
      </w:r>
      <w:r w:rsidR="000348D6">
        <w:rPr>
          <w:rFonts w:ascii="Times New Roman" w:hAnsi="Times New Roman" w:cs="Times New Roman"/>
          <w:sz w:val="24"/>
          <w:szCs w:val="24"/>
        </w:rPr>
        <w:t>B</w:t>
      </w:r>
      <w:r w:rsidR="000348D6" w:rsidRPr="009872B0">
        <w:rPr>
          <w:rFonts w:ascii="Times New Roman" w:hAnsi="Times New Roman" w:cs="Times New Roman"/>
          <w:sz w:val="24"/>
          <w:szCs w:val="24"/>
        </w:rPr>
        <w:t>CNNs in a novel context</w:t>
      </w:r>
      <w:r w:rsidR="002D21EA">
        <w:rPr>
          <w:rFonts w:ascii="Times New Roman" w:hAnsi="Times New Roman" w:cs="Times New Roman"/>
          <w:sz w:val="24"/>
          <w:szCs w:val="24"/>
        </w:rPr>
        <w:t xml:space="preserve"> by converting the</w:t>
      </w:r>
      <w:r w:rsidR="002D21EA" w:rsidRPr="009872B0">
        <w:rPr>
          <w:rFonts w:ascii="Times New Roman" w:hAnsi="Times New Roman" w:cs="Times New Roman"/>
          <w:sz w:val="24"/>
          <w:szCs w:val="24"/>
        </w:rPr>
        <w:t xml:space="preserve"> comprehensive set of SARS-CoV-2 pandemic </w:t>
      </w:r>
      <w:r w:rsidR="002D21EA">
        <w:rPr>
          <w:rFonts w:ascii="Times New Roman" w:hAnsi="Times New Roman" w:cs="Times New Roman"/>
          <w:sz w:val="24"/>
          <w:szCs w:val="24"/>
        </w:rPr>
        <w:t>influential factors into one dimensional images</w:t>
      </w:r>
      <w:r w:rsidR="000348D6">
        <w:rPr>
          <w:rFonts w:ascii="Times New Roman" w:hAnsi="Times New Roman" w:cs="Times New Roman"/>
          <w:sz w:val="24"/>
          <w:szCs w:val="24"/>
        </w:rPr>
        <w:t xml:space="preserve">. </w:t>
      </w:r>
      <w:r w:rsidRPr="009872B0">
        <w:rPr>
          <w:rFonts w:ascii="Times New Roman" w:hAnsi="Times New Roman" w:cs="Times New Roman"/>
          <w:sz w:val="24"/>
          <w:szCs w:val="24"/>
        </w:rPr>
        <w:t xml:space="preserve"> To the best of our knowledge, our paper is the ﬁrst analysis to explore the efficacy of government policies through utilizing a </w:t>
      </w:r>
      <w:r w:rsidR="002D21EA">
        <w:rPr>
          <w:rFonts w:ascii="Times New Roman" w:hAnsi="Times New Roman" w:cs="Times New Roman"/>
          <w:sz w:val="24"/>
          <w:szCs w:val="24"/>
        </w:rPr>
        <w:t xml:space="preserve">convolutional </w:t>
      </w:r>
      <w:r w:rsidRPr="009872B0">
        <w:rPr>
          <w:rFonts w:ascii="Times New Roman" w:hAnsi="Times New Roman" w:cs="Times New Roman"/>
          <w:sz w:val="24"/>
          <w:szCs w:val="24"/>
        </w:rPr>
        <w:t xml:space="preserve">deep learning approach and integrating the </w:t>
      </w:r>
      <w:r w:rsidR="00D83221">
        <w:rPr>
          <w:rFonts w:ascii="Times New Roman" w:hAnsi="Times New Roman" w:cs="Times New Roman"/>
          <w:sz w:val="24"/>
          <w:szCs w:val="24"/>
        </w:rPr>
        <w:t>data from 30 European countries</w:t>
      </w:r>
      <w:r w:rsidRPr="009872B0">
        <w:rPr>
          <w:rFonts w:ascii="Times New Roman" w:hAnsi="Times New Roman" w:cs="Times New Roman"/>
          <w:sz w:val="24"/>
          <w:szCs w:val="24"/>
        </w:rPr>
        <w:t xml:space="preserve">.   </w:t>
      </w:r>
    </w:p>
    <w:p w:rsidR="00896D6C" w:rsidRPr="009872B0" w:rsidRDefault="002D7DE5" w:rsidP="007E12CE">
      <w:pPr>
        <w:spacing w:after="0" w:line="360" w:lineRule="auto"/>
        <w:jc w:val="both"/>
        <w:rPr>
          <w:rFonts w:ascii="Times New Roman" w:eastAsia="Calibri Light" w:hAnsi="Times New Roman" w:cs="Times New Roman"/>
          <w:sz w:val="24"/>
          <w:szCs w:val="24"/>
        </w:rPr>
      </w:pPr>
      <w:r w:rsidRPr="009872B0">
        <w:rPr>
          <w:rFonts w:ascii="Times New Roman" w:eastAsia="Calibri Light" w:hAnsi="Times New Roman" w:cs="Times New Roman"/>
          <w:sz w:val="24"/>
          <w:szCs w:val="24"/>
        </w:rPr>
        <w:t xml:space="preserve">The remainder of the paper is as follows. In section 2, the literature background is </w:t>
      </w:r>
      <w:r w:rsidR="001375C8">
        <w:rPr>
          <w:rFonts w:ascii="Times New Roman" w:eastAsia="Calibri Light" w:hAnsi="Times New Roman" w:cs="Times New Roman"/>
          <w:sz w:val="24"/>
          <w:szCs w:val="24"/>
        </w:rPr>
        <w:t>explained</w:t>
      </w:r>
      <w:r w:rsidRPr="009872B0">
        <w:rPr>
          <w:rFonts w:ascii="Times New Roman" w:eastAsia="Calibri Light" w:hAnsi="Times New Roman" w:cs="Times New Roman"/>
          <w:sz w:val="24"/>
          <w:szCs w:val="24"/>
        </w:rPr>
        <w:t xml:space="preserve">. </w:t>
      </w:r>
      <w:r w:rsidR="00DF0269">
        <w:rPr>
          <w:rFonts w:ascii="Times New Roman" w:eastAsia="Calibri Light" w:hAnsi="Times New Roman" w:cs="Times New Roman"/>
          <w:sz w:val="24"/>
          <w:szCs w:val="24"/>
        </w:rPr>
        <w:t>S</w:t>
      </w:r>
      <w:r w:rsidRPr="009872B0">
        <w:rPr>
          <w:rFonts w:ascii="Times New Roman" w:eastAsia="Calibri Light" w:hAnsi="Times New Roman" w:cs="Times New Roman"/>
          <w:sz w:val="24"/>
          <w:szCs w:val="24"/>
        </w:rPr>
        <w:t>ection 3 comprehend</w:t>
      </w:r>
      <w:r w:rsidR="00DF0269">
        <w:rPr>
          <w:rFonts w:ascii="Times New Roman" w:eastAsia="Calibri Light" w:hAnsi="Times New Roman" w:cs="Times New Roman"/>
          <w:sz w:val="24"/>
          <w:szCs w:val="24"/>
        </w:rPr>
        <w:t>s</w:t>
      </w:r>
      <w:r w:rsidRPr="009872B0">
        <w:rPr>
          <w:rFonts w:ascii="Times New Roman" w:eastAsia="Calibri Light" w:hAnsi="Times New Roman" w:cs="Times New Roman"/>
          <w:sz w:val="24"/>
          <w:szCs w:val="24"/>
        </w:rPr>
        <w:t xml:space="preserve"> how the data of </w:t>
      </w:r>
      <w:r w:rsidR="007E12CE">
        <w:rPr>
          <w:rFonts w:ascii="Times New Roman" w:eastAsia="Calibri Light" w:hAnsi="Times New Roman" w:cs="Times New Roman"/>
          <w:sz w:val="24"/>
          <w:szCs w:val="24"/>
        </w:rPr>
        <w:t>the set of</w:t>
      </w:r>
      <w:r w:rsidRPr="009872B0">
        <w:rPr>
          <w:rFonts w:ascii="Times New Roman" w:eastAsia="Calibri Light" w:hAnsi="Times New Roman" w:cs="Times New Roman"/>
          <w:sz w:val="24"/>
          <w:szCs w:val="24"/>
        </w:rPr>
        <w:t xml:space="preserve"> influential factors</w:t>
      </w:r>
      <w:r w:rsidR="00DF0269">
        <w:rPr>
          <w:rFonts w:ascii="Times New Roman" w:eastAsia="Calibri Light" w:hAnsi="Times New Roman" w:cs="Times New Roman"/>
          <w:sz w:val="24"/>
          <w:szCs w:val="24"/>
        </w:rPr>
        <w:t xml:space="preserve"> are </w:t>
      </w:r>
      <w:r w:rsidR="007E12CE">
        <w:rPr>
          <w:rFonts w:ascii="Times New Roman" w:eastAsia="Calibri Light" w:hAnsi="Times New Roman" w:cs="Times New Roman"/>
          <w:sz w:val="24"/>
          <w:szCs w:val="24"/>
        </w:rPr>
        <w:t xml:space="preserve">extracted, cleaned and </w:t>
      </w:r>
      <w:r w:rsidR="00DF0269">
        <w:rPr>
          <w:rFonts w:ascii="Times New Roman" w:eastAsia="Calibri Light" w:hAnsi="Times New Roman" w:cs="Times New Roman"/>
          <w:sz w:val="24"/>
          <w:szCs w:val="24"/>
        </w:rPr>
        <w:t>merged</w:t>
      </w:r>
      <w:r w:rsidRPr="009872B0">
        <w:rPr>
          <w:rFonts w:ascii="Times New Roman" w:eastAsia="Calibri Light" w:hAnsi="Times New Roman" w:cs="Times New Roman"/>
          <w:sz w:val="24"/>
          <w:szCs w:val="24"/>
        </w:rPr>
        <w:t xml:space="preserve"> into a unique data table, how the applied deep learning model (Bayesian convolutional) BCNN </w:t>
      </w:r>
      <w:r w:rsidR="00DF0269">
        <w:rPr>
          <w:rFonts w:ascii="Times New Roman" w:eastAsia="Calibri Light" w:hAnsi="Times New Roman" w:cs="Times New Roman"/>
          <w:sz w:val="24"/>
          <w:szCs w:val="24"/>
        </w:rPr>
        <w:t xml:space="preserve">is constructed and trained, </w:t>
      </w:r>
      <w:r w:rsidRPr="009872B0">
        <w:rPr>
          <w:rFonts w:ascii="Times New Roman" w:eastAsia="Calibri Light" w:hAnsi="Times New Roman" w:cs="Times New Roman"/>
          <w:sz w:val="24"/>
          <w:szCs w:val="24"/>
        </w:rPr>
        <w:t xml:space="preserve">and what are the inputs (explanatory variables) and the output (the dependent variable) of the model. In section 4, the capability of the </w:t>
      </w:r>
      <w:r w:rsidR="00DF0269">
        <w:rPr>
          <w:rFonts w:ascii="Times New Roman" w:eastAsia="Calibri Light" w:hAnsi="Times New Roman" w:cs="Times New Roman"/>
          <w:sz w:val="24"/>
          <w:szCs w:val="24"/>
        </w:rPr>
        <w:t xml:space="preserve">trained </w:t>
      </w:r>
      <w:r w:rsidRPr="009872B0">
        <w:rPr>
          <w:rFonts w:ascii="Times New Roman" w:eastAsia="Calibri Light" w:hAnsi="Times New Roman" w:cs="Times New Roman"/>
          <w:sz w:val="24"/>
          <w:szCs w:val="24"/>
        </w:rPr>
        <w:t xml:space="preserve">model </w:t>
      </w:r>
      <w:r w:rsidR="00DF0269">
        <w:rPr>
          <w:rFonts w:ascii="Times New Roman" w:eastAsia="Calibri Light" w:hAnsi="Times New Roman" w:cs="Times New Roman"/>
          <w:sz w:val="24"/>
          <w:szCs w:val="24"/>
        </w:rPr>
        <w:t>to deliver precise predictions is</w:t>
      </w:r>
      <w:r w:rsidR="007E12CE">
        <w:rPr>
          <w:rFonts w:ascii="Times New Roman" w:eastAsia="Calibri Light" w:hAnsi="Times New Roman" w:cs="Times New Roman"/>
          <w:sz w:val="24"/>
          <w:szCs w:val="24"/>
        </w:rPr>
        <w:t xml:space="preserve"> proven and</w:t>
      </w:r>
      <w:r w:rsidR="00DF0269">
        <w:rPr>
          <w:rFonts w:ascii="Times New Roman" w:eastAsia="Calibri Light" w:hAnsi="Times New Roman" w:cs="Times New Roman"/>
          <w:sz w:val="24"/>
          <w:szCs w:val="24"/>
        </w:rPr>
        <w:t xml:space="preserve"> utilized</w:t>
      </w:r>
      <w:r w:rsidRPr="009872B0">
        <w:rPr>
          <w:rFonts w:ascii="Times New Roman" w:eastAsia="Calibri Light" w:hAnsi="Times New Roman" w:cs="Times New Roman"/>
          <w:sz w:val="24"/>
          <w:szCs w:val="24"/>
        </w:rPr>
        <w:t xml:space="preserve"> to draw inferences regarding the significance and partial effects of each </w:t>
      </w:r>
      <w:r w:rsidRPr="009872B0">
        <w:rPr>
          <w:rFonts w:ascii="Times New Roman" w:hAnsi="Times New Roman" w:cs="Times New Roman"/>
          <w:sz w:val="24"/>
          <w:szCs w:val="24"/>
        </w:rPr>
        <w:t xml:space="preserve">of </w:t>
      </w:r>
      <w:r w:rsidR="00DF0269">
        <w:rPr>
          <w:rFonts w:ascii="Times New Roman" w:hAnsi="Times New Roman" w:cs="Times New Roman"/>
          <w:sz w:val="24"/>
          <w:szCs w:val="24"/>
        </w:rPr>
        <w:t>pandemic influential</w:t>
      </w:r>
      <w:r w:rsidRPr="009872B0">
        <w:rPr>
          <w:rFonts w:ascii="Times New Roman" w:hAnsi="Times New Roman" w:cs="Times New Roman"/>
          <w:sz w:val="24"/>
          <w:szCs w:val="24"/>
        </w:rPr>
        <w:t xml:space="preserve"> variables</w:t>
      </w:r>
      <w:r w:rsidRPr="009872B0">
        <w:rPr>
          <w:rFonts w:ascii="Times New Roman" w:eastAsia="Calibri Light" w:hAnsi="Times New Roman" w:cs="Times New Roman"/>
          <w:sz w:val="24"/>
          <w:szCs w:val="24"/>
        </w:rPr>
        <w:t>. Further discussion and concluding remarks are highlighted in section 5.</w:t>
      </w:r>
    </w:p>
    <w:p w:rsidR="00896D6C" w:rsidRPr="009872B0" w:rsidRDefault="00896D6C">
      <w:pPr>
        <w:spacing w:after="0" w:line="360" w:lineRule="auto"/>
        <w:jc w:val="both"/>
        <w:rPr>
          <w:rFonts w:ascii="Times New Roman" w:eastAsia="Calibri Light" w:hAnsi="Times New Roman" w:cs="Times New Roman"/>
          <w:sz w:val="24"/>
          <w:szCs w:val="24"/>
        </w:rPr>
      </w:pPr>
    </w:p>
    <w:p w:rsidR="00896D6C" w:rsidRPr="009872B0" w:rsidRDefault="002D7DE5">
      <w:pPr>
        <w:pStyle w:val="Heading2"/>
        <w:numPr>
          <w:ilvl w:val="0"/>
          <w:numId w:val="5"/>
        </w:numPr>
        <w:rPr>
          <w:rFonts w:ascii="Times New Roman" w:hAnsi="Times New Roman" w:cs="Times New Roman"/>
          <w:sz w:val="28"/>
          <w:szCs w:val="28"/>
        </w:rPr>
      </w:pPr>
      <w:r w:rsidRPr="009872B0">
        <w:rPr>
          <w:rFonts w:ascii="Times New Roman" w:hAnsi="Times New Roman" w:cs="Times New Roman"/>
          <w:sz w:val="28"/>
          <w:szCs w:val="28"/>
        </w:rPr>
        <w:t>Background</w:t>
      </w:r>
    </w:p>
    <w:p w:rsidR="00896D6C" w:rsidRPr="009872B0" w:rsidRDefault="002D7DE5">
      <w:pPr>
        <w:spacing w:after="0"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Various studies within the preceding literature among others </w:t>
      </w:r>
      <w:r w:rsidR="00F72798" w:rsidRPr="009872B0">
        <w:rPr>
          <w:rFonts w:ascii="Times New Roman" w:hAnsi="Times New Roman" w:cs="Times New Roman"/>
          <w:sz w:val="24"/>
          <w:szCs w:val="24"/>
        </w:rPr>
        <w:t xml:space="preserve">Flaxman et. al. (2020), </w:t>
      </w:r>
      <w:r w:rsidRPr="009872B0">
        <w:rPr>
          <w:rFonts w:ascii="Times New Roman" w:hAnsi="Times New Roman" w:cs="Times New Roman"/>
          <w:sz w:val="24"/>
          <w:szCs w:val="24"/>
        </w:rPr>
        <w:t xml:space="preserve">Li et. al., (2022), </w:t>
      </w:r>
      <w:proofErr w:type="spellStart"/>
      <w:r w:rsidRPr="009872B0">
        <w:rPr>
          <w:rFonts w:ascii="Times New Roman" w:hAnsi="Times New Roman" w:cs="Times New Roman"/>
          <w:sz w:val="24"/>
          <w:szCs w:val="24"/>
        </w:rPr>
        <w:t>Huy</w:t>
      </w:r>
      <w:proofErr w:type="spellEnd"/>
      <w:r w:rsidRPr="009872B0">
        <w:rPr>
          <w:rFonts w:ascii="Times New Roman" w:hAnsi="Times New Roman" w:cs="Times New Roman"/>
          <w:sz w:val="24"/>
          <w:szCs w:val="24"/>
        </w:rPr>
        <w:t xml:space="preserve"> et. al., (2022), Ge et. al., (2022), Leech et. al., (2022), </w:t>
      </w:r>
      <w:proofErr w:type="spellStart"/>
      <w:r w:rsidRPr="009872B0">
        <w:rPr>
          <w:rFonts w:ascii="Times New Roman" w:hAnsi="Times New Roman" w:cs="Times New Roman"/>
          <w:sz w:val="24"/>
          <w:szCs w:val="24"/>
        </w:rPr>
        <w:t>Bahnholzer</w:t>
      </w:r>
      <w:proofErr w:type="spellEnd"/>
      <w:r w:rsidRPr="009872B0">
        <w:rPr>
          <w:rFonts w:ascii="Times New Roman" w:hAnsi="Times New Roman" w:cs="Times New Roman"/>
          <w:sz w:val="24"/>
          <w:szCs w:val="24"/>
        </w:rPr>
        <w:t xml:space="preserve"> et. a., (2022), Liu et. al., (2022), </w:t>
      </w:r>
      <w:proofErr w:type="spellStart"/>
      <w:r w:rsidRPr="009872B0">
        <w:rPr>
          <w:rFonts w:ascii="Times New Roman" w:hAnsi="Times New Roman" w:cs="Times New Roman"/>
          <w:sz w:val="24"/>
          <w:szCs w:val="24"/>
        </w:rPr>
        <w:t>Stockes</w:t>
      </w:r>
      <w:proofErr w:type="spellEnd"/>
      <w:r w:rsidRPr="009872B0">
        <w:rPr>
          <w:rFonts w:ascii="Times New Roman" w:hAnsi="Times New Roman" w:cs="Times New Roman"/>
          <w:sz w:val="24"/>
          <w:szCs w:val="24"/>
        </w:rPr>
        <w:t xml:space="preserve"> et. al. (2022), Ge et. al., (2022), Liu et. al., (2022), Zhou et. al., (2022) and Lawson &amp; </w:t>
      </w:r>
      <w:proofErr w:type="spellStart"/>
      <w:r w:rsidRPr="009872B0">
        <w:rPr>
          <w:rFonts w:ascii="Times New Roman" w:hAnsi="Times New Roman" w:cs="Times New Roman"/>
          <w:sz w:val="24"/>
          <w:szCs w:val="24"/>
        </w:rPr>
        <w:t>Rotejanaprasert</w:t>
      </w:r>
      <w:proofErr w:type="spellEnd"/>
      <w:r w:rsidRPr="009872B0">
        <w:rPr>
          <w:rFonts w:ascii="Times New Roman" w:hAnsi="Times New Roman" w:cs="Times New Roman"/>
          <w:sz w:val="24"/>
          <w:szCs w:val="24"/>
        </w:rPr>
        <w:t xml:space="preserve"> (2023) have estimated the effectiveness of government SARS-CoV-2 policies across multiple countries and regions by means of different methodologies and criteria. Table 1 expresses a summary of the recent studies within this context.</w:t>
      </w:r>
    </w:p>
    <w:p w:rsidR="00896D6C" w:rsidRPr="009872B0" w:rsidRDefault="00896D6C">
      <w:pPr>
        <w:spacing w:after="0" w:line="360" w:lineRule="auto"/>
        <w:jc w:val="both"/>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9"/>
        <w:gridCol w:w="2136"/>
        <w:gridCol w:w="1540"/>
        <w:gridCol w:w="1955"/>
        <w:gridCol w:w="1940"/>
      </w:tblGrid>
      <w:tr w:rsidR="009872B0" w:rsidRPr="009872B0">
        <w:tc>
          <w:tcPr>
            <w:tcW w:w="1779"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lastRenderedPageBreak/>
              <w:t>Study</w:t>
            </w:r>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 xml:space="preserve">Method </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Evaluation criterion</w:t>
            </w:r>
          </w:p>
          <w:p w:rsidR="00896D6C" w:rsidRPr="009872B0" w:rsidRDefault="00896D6C">
            <w:pPr>
              <w:jc w:val="both"/>
              <w:rPr>
                <w:rFonts w:ascii="Times New Roman" w:hAnsi="Times New Roman" w:cs="Times New Roman"/>
                <w:sz w:val="18"/>
                <w:szCs w:val="18"/>
              </w:rPr>
            </w:pP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 xml:space="preserve">Scope </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Key results</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8" w:tooltip="https://pubsonline.informs.org/doi/full/10.1287/opre.2022.2306" w:history="1">
              <w:r w:rsidR="002D7DE5" w:rsidRPr="009872B0">
                <w:rPr>
                  <w:rStyle w:val="Hyperlink"/>
                  <w:rFonts w:ascii="Times New Roman" w:hAnsi="Times New Roman" w:cs="Times New Roman"/>
                  <w:color w:val="auto"/>
                  <w:sz w:val="18"/>
                  <w:szCs w:val="18"/>
                  <w:u w:val="none"/>
                </w:rPr>
                <w:t>Li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Epidemiological compartment model</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Number of the new cases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Pre-vaccination era of the pandemic in large-scale epidemics areas, e.g.  the United States, United Kingdom, and Russia</w:t>
            </w:r>
          </w:p>
          <w:p w:rsidR="00896D6C" w:rsidRPr="009872B0" w:rsidRDefault="00896D6C">
            <w:pPr>
              <w:jc w:val="both"/>
              <w:rPr>
                <w:rFonts w:ascii="Times New Roman" w:hAnsi="Times New Roman" w:cs="Times New Roman"/>
                <w:sz w:val="18"/>
                <w:szCs w:val="18"/>
              </w:rPr>
            </w:pP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Mass gathering restrictions and school closings are associated with the largest average reductions in infection rates</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9" w:tooltip="https://aricjournal.biomedcentral.com/articles/10.1186/s13756-021-01039-x" w:history="1">
              <w:r w:rsidR="002D7DE5" w:rsidRPr="009872B0">
                <w:rPr>
                  <w:rStyle w:val="Hyperlink"/>
                  <w:rFonts w:ascii="Times New Roman" w:hAnsi="Times New Roman" w:cs="Times New Roman"/>
                  <w:color w:val="auto"/>
                  <w:sz w:val="18"/>
                  <w:szCs w:val="18"/>
                  <w:u w:val="none"/>
                </w:rPr>
                <w:t>Liu Y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Lasso regression</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Reproduction numbers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European countries within the year 2020</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The mobility index generated by personal behavior in prevention and control may be more important than wearing a mask</w:t>
            </w:r>
          </w:p>
          <w:p w:rsidR="00896D6C" w:rsidRPr="009872B0" w:rsidRDefault="00896D6C">
            <w:pPr>
              <w:jc w:val="both"/>
              <w:rPr>
                <w:rFonts w:ascii="Times New Roman" w:hAnsi="Times New Roman" w:cs="Times New Roman"/>
                <w:sz w:val="18"/>
                <w:szCs w:val="18"/>
              </w:rPr>
            </w:pP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10" w:tooltip="https://bmcpublichealth.biomedcentral.com/articles/10.1186/s12889-022-13546-6" w:history="1">
              <w:proofErr w:type="spellStart"/>
              <w:r w:rsidR="002D7DE5" w:rsidRPr="009872B0">
                <w:rPr>
                  <w:rStyle w:val="Hyperlink"/>
                  <w:rFonts w:ascii="Times New Roman" w:hAnsi="Times New Roman" w:cs="Times New Roman"/>
                  <w:color w:val="auto"/>
                  <w:sz w:val="18"/>
                  <w:szCs w:val="18"/>
                  <w:u w:val="none"/>
                </w:rPr>
                <w:t>Stockes</w:t>
              </w:r>
              <w:proofErr w:type="spellEnd"/>
              <w:r w:rsidR="002D7DE5" w:rsidRPr="009872B0">
                <w:rPr>
                  <w:rStyle w:val="Hyperlink"/>
                  <w:rFonts w:ascii="Times New Roman" w:hAnsi="Times New Roman" w:cs="Times New Roman"/>
                  <w:color w:val="auto"/>
                  <w:sz w:val="18"/>
                  <w:szCs w:val="18"/>
                  <w:u w:val="none"/>
                </w:rPr>
                <w:t xml:space="preserve">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Multivariate regression</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 xml:space="preserve">Mortality rate </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130 countries up to June 2020</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Earlier and stricter school and workplace closures are associated with lower mortality rates</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11" w:tooltip="https://www.mdpi.com/1660-4601/19/3/1139" w:history="1">
              <w:proofErr w:type="spellStart"/>
              <w:r w:rsidR="002D7DE5" w:rsidRPr="009872B0">
                <w:rPr>
                  <w:rStyle w:val="Hyperlink"/>
                  <w:rFonts w:ascii="Times New Roman" w:hAnsi="Times New Roman" w:cs="Times New Roman"/>
                  <w:color w:val="auto"/>
                  <w:sz w:val="18"/>
                  <w:szCs w:val="18"/>
                  <w:u w:val="none"/>
                </w:rPr>
                <w:t>Huy</w:t>
              </w:r>
              <w:proofErr w:type="spellEnd"/>
              <w:r w:rsidR="002D7DE5" w:rsidRPr="009872B0">
                <w:rPr>
                  <w:rStyle w:val="Hyperlink"/>
                  <w:rFonts w:ascii="Times New Roman" w:hAnsi="Times New Roman" w:cs="Times New Roman"/>
                  <w:color w:val="auto"/>
                  <w:sz w:val="18"/>
                  <w:szCs w:val="18"/>
                  <w:u w:val="none"/>
                </w:rPr>
                <w:t xml:space="preserve">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Longitudinal correlation analysis</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Growth rate of infection</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30 Asian countries over the 20 weeks of the pre- and post-vaccination period</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The facial covering policy in the pre-vaccination period and restrictions on gatherings and public transport closure in the post-vaccination period, are the most effective intervention</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12" w:tooltip="https://www.nature.com/articles/s41467-022-30897-1" w:history="1">
              <w:r w:rsidR="002D7DE5" w:rsidRPr="009872B0">
                <w:rPr>
                  <w:rStyle w:val="Hyperlink"/>
                  <w:rFonts w:ascii="Times New Roman" w:hAnsi="Times New Roman" w:cs="Times New Roman"/>
                  <w:color w:val="auto"/>
                  <w:sz w:val="18"/>
                  <w:szCs w:val="18"/>
                  <w:u w:val="none"/>
                </w:rPr>
                <w:t>Ge et. al., (2022</w:t>
              </w:r>
            </w:hyperlink>
            <w:r w:rsidR="002D7DE5" w:rsidRPr="009872B0">
              <w:rPr>
                <w:rStyle w:val="Hyperlink"/>
                <w:rFonts w:ascii="Times New Roman" w:hAnsi="Times New Roman" w:cs="Times New Roman"/>
                <w:color w:val="auto"/>
                <w:sz w:val="18"/>
                <w:szCs w:val="18"/>
                <w:u w:val="none"/>
              </w:rPr>
              <w:t>)</w:t>
            </w:r>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Bayesian regression</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Reproduction numbers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European countries from August 2020 to October 2021</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NPIs might remain an important complementary to vaccination in reducing COVID-19 transmission before herd immunity has been reached</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13" w:tooltip="https://www.pnas.org/doi/10.1073/pnas.2119266119" w:history="1">
              <w:r w:rsidR="002D7DE5" w:rsidRPr="009872B0">
                <w:rPr>
                  <w:rStyle w:val="Hyperlink"/>
                  <w:rFonts w:ascii="Times New Roman" w:hAnsi="Times New Roman" w:cs="Times New Roman"/>
                  <w:color w:val="auto"/>
                  <w:sz w:val="18"/>
                  <w:szCs w:val="18"/>
                  <w:u w:val="none"/>
                </w:rPr>
                <w:t>Leech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Bayesian regression</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Reproduction numbers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56 countries between May and September 2020</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Mask wearing in community settings reduces SARS-CoV-2 transmission</w:t>
            </w:r>
          </w:p>
        </w:tc>
      </w:tr>
      <w:tr w:rsidR="009872B0" w:rsidRPr="009872B0">
        <w:tc>
          <w:tcPr>
            <w:tcW w:w="1779" w:type="dxa"/>
          </w:tcPr>
          <w:p w:rsidR="00896D6C" w:rsidRPr="009872B0" w:rsidRDefault="00190BC8">
            <w:pPr>
              <w:jc w:val="both"/>
              <w:rPr>
                <w:rFonts w:ascii="Times New Roman" w:hAnsi="Times New Roman" w:cs="Times New Roman"/>
                <w:sz w:val="18"/>
                <w:szCs w:val="18"/>
              </w:rPr>
            </w:pPr>
            <w:hyperlink r:id="rId14" w:tooltip="https://www.ncbi.nlm.nih.gov/pmc/articles/PMC8666325/" w:history="1">
              <w:r w:rsidR="002D7DE5" w:rsidRPr="009872B0">
                <w:rPr>
                  <w:rStyle w:val="Hyperlink"/>
                  <w:rFonts w:ascii="Times New Roman" w:hAnsi="Times New Roman" w:cs="Times New Roman"/>
                  <w:color w:val="auto"/>
                  <w:sz w:val="18"/>
                  <w:szCs w:val="18"/>
                  <w:u w:val="none"/>
                </w:rPr>
                <w:t>Ge et. al., (2022)</w:t>
              </w:r>
            </w:hyperlink>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Bayesian regression</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Growth rate of infection</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133 countries within 2020</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Gathering restrictions and facial coverings played significant roles in epidemic mitigation before the vaccine rollout</w:t>
            </w:r>
          </w:p>
        </w:tc>
      </w:tr>
      <w:tr w:rsidR="009872B0" w:rsidRPr="009872B0">
        <w:tc>
          <w:tcPr>
            <w:tcW w:w="1779" w:type="dxa"/>
          </w:tcPr>
          <w:p w:rsidR="00896D6C" w:rsidRPr="009872B0" w:rsidRDefault="002D7DE5">
            <w:pPr>
              <w:jc w:val="both"/>
              <w:rPr>
                <w:rFonts w:ascii="Times New Roman" w:eastAsia="Times New Roman" w:hAnsi="Times New Roman" w:cs="Times New Roman"/>
                <w:sz w:val="18"/>
                <w:szCs w:val="18"/>
              </w:rPr>
            </w:pPr>
            <w:r w:rsidRPr="009872B0">
              <w:rPr>
                <w:rFonts w:ascii="Times New Roman" w:hAnsi="Times New Roman" w:cs="Times New Roman"/>
                <w:sz w:val="18"/>
                <w:szCs w:val="18"/>
              </w:rPr>
              <w:t xml:space="preserve">Liu D et. al.,(2022) </w:t>
            </w:r>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Deep neural network</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Number of the new cases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All counties of the United States from January 1 to July 10, 2020</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Social distancing is essential to control the spread of COVID-19, as well as the duration and degree of implementing social distancing interventions</w:t>
            </w:r>
          </w:p>
        </w:tc>
      </w:tr>
      <w:tr w:rsidR="00896D6C" w:rsidRPr="009872B0">
        <w:tc>
          <w:tcPr>
            <w:tcW w:w="1779" w:type="dxa"/>
          </w:tcPr>
          <w:p w:rsidR="00896D6C" w:rsidRPr="009872B0" w:rsidRDefault="002D7DE5">
            <w:pPr>
              <w:jc w:val="both"/>
              <w:rPr>
                <w:rFonts w:ascii="Times New Roman" w:eastAsia="Times New Roman" w:hAnsi="Times New Roman" w:cs="Times New Roman"/>
                <w:sz w:val="18"/>
                <w:szCs w:val="18"/>
              </w:rPr>
            </w:pPr>
            <w:r w:rsidRPr="009872B0">
              <w:rPr>
                <w:rFonts w:ascii="Times New Roman" w:hAnsi="Times New Roman" w:cs="Times New Roman"/>
                <w:sz w:val="18"/>
                <w:szCs w:val="18"/>
              </w:rPr>
              <w:t>Zhou et. al.,(2022)</w:t>
            </w:r>
          </w:p>
        </w:tc>
        <w:tc>
          <w:tcPr>
            <w:tcW w:w="2136"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Deep neural network</w:t>
            </w:r>
          </w:p>
        </w:tc>
        <w:tc>
          <w:tcPr>
            <w:tcW w:w="15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Number of the new cases</w:t>
            </w:r>
          </w:p>
        </w:tc>
        <w:tc>
          <w:tcPr>
            <w:tcW w:w="1955"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3 states of the United States from April 1st, 2020 to March 31st, 2021</w:t>
            </w:r>
          </w:p>
        </w:tc>
        <w:tc>
          <w:tcPr>
            <w:tcW w:w="1940" w:type="dxa"/>
          </w:tcPr>
          <w:p w:rsidR="00896D6C" w:rsidRPr="009872B0" w:rsidRDefault="002D7DE5">
            <w:pPr>
              <w:jc w:val="both"/>
              <w:rPr>
                <w:rFonts w:ascii="Times New Roman" w:hAnsi="Times New Roman" w:cs="Times New Roman"/>
                <w:sz w:val="18"/>
                <w:szCs w:val="18"/>
              </w:rPr>
            </w:pPr>
            <w:r w:rsidRPr="009872B0">
              <w:rPr>
                <w:rFonts w:ascii="Times New Roman" w:hAnsi="Times New Roman" w:cs="Times New Roman"/>
                <w:sz w:val="18"/>
                <w:szCs w:val="18"/>
              </w:rPr>
              <w:t xml:space="preserve">School closing, canceling the public events and closing public transport are the most successful </w:t>
            </w:r>
            <w:r w:rsidRPr="009872B0">
              <w:rPr>
                <w:rFonts w:ascii="Times New Roman" w:hAnsi="Times New Roman" w:cs="Times New Roman"/>
                <w:sz w:val="18"/>
                <w:szCs w:val="18"/>
              </w:rPr>
              <w:lastRenderedPageBreak/>
              <w:t>containment and closure policies</w:t>
            </w:r>
          </w:p>
        </w:tc>
      </w:tr>
    </w:tbl>
    <w:p w:rsidR="00896D6C" w:rsidRPr="009872B0" w:rsidRDefault="00896D6C">
      <w:pPr>
        <w:spacing w:after="0" w:line="360" w:lineRule="auto"/>
        <w:jc w:val="both"/>
        <w:rPr>
          <w:rFonts w:ascii="Times New Roman" w:hAnsi="Times New Roman" w:cs="Times New Roman"/>
          <w:sz w:val="24"/>
          <w:szCs w:val="24"/>
        </w:rPr>
      </w:pPr>
    </w:p>
    <w:p w:rsidR="00896D6C" w:rsidRPr="009872B0" w:rsidRDefault="002D7DE5">
      <w:pPr>
        <w:spacing w:after="0" w:line="360" w:lineRule="auto"/>
        <w:jc w:val="both"/>
        <w:rPr>
          <w:rFonts w:ascii="Times New Roman" w:hAnsi="Times New Roman" w:cs="Times New Roman"/>
          <w:sz w:val="20"/>
          <w:szCs w:val="20"/>
        </w:rPr>
      </w:pPr>
      <w:r w:rsidRPr="009872B0">
        <w:rPr>
          <w:rFonts w:ascii="Times New Roman" w:hAnsi="Times New Roman" w:cs="Times New Roman"/>
          <w:sz w:val="20"/>
          <w:szCs w:val="20"/>
        </w:rPr>
        <w:t xml:space="preserve">Table </w:t>
      </w:r>
      <w:r w:rsidRPr="009872B0">
        <w:rPr>
          <w:rFonts w:ascii="Times New Roman" w:hAnsi="Times New Roman" w:cs="Times New Roman"/>
          <w:sz w:val="20"/>
          <w:szCs w:val="20"/>
        </w:rPr>
        <w:fldChar w:fldCharType="begin"/>
      </w:r>
      <w:r w:rsidRPr="009872B0">
        <w:rPr>
          <w:rFonts w:ascii="Times New Roman" w:hAnsi="Times New Roman" w:cs="Times New Roman"/>
          <w:sz w:val="20"/>
          <w:szCs w:val="20"/>
        </w:rPr>
        <w:instrText xml:space="preserve"> SEQ Table \* ARABIC </w:instrText>
      </w:r>
      <w:r w:rsidRPr="009872B0">
        <w:rPr>
          <w:rFonts w:ascii="Times New Roman" w:hAnsi="Times New Roman" w:cs="Times New Roman"/>
          <w:sz w:val="20"/>
          <w:szCs w:val="20"/>
        </w:rPr>
        <w:fldChar w:fldCharType="separate"/>
      </w:r>
      <w:r w:rsidRPr="009872B0">
        <w:rPr>
          <w:rFonts w:ascii="Times New Roman" w:hAnsi="Times New Roman" w:cs="Times New Roman"/>
          <w:sz w:val="20"/>
          <w:szCs w:val="20"/>
        </w:rPr>
        <w:t>1</w:t>
      </w:r>
      <w:r w:rsidRPr="009872B0">
        <w:rPr>
          <w:rFonts w:ascii="Times New Roman" w:hAnsi="Times New Roman" w:cs="Times New Roman"/>
          <w:sz w:val="20"/>
          <w:szCs w:val="20"/>
        </w:rPr>
        <w:fldChar w:fldCharType="end"/>
      </w:r>
      <w:r w:rsidRPr="009872B0">
        <w:rPr>
          <w:rFonts w:ascii="Times New Roman" w:hAnsi="Times New Roman" w:cs="Times New Roman"/>
          <w:sz w:val="20"/>
          <w:szCs w:val="20"/>
        </w:rPr>
        <w:t>: Key features from the preceding studies of vaccination and NPIs’ effectiveness</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Li et. al., (2022) introduce a compartmental epidemiological model which predicts the detected cases and deaths in large scale epidemic areas. The model is then used to quantify the impact of government interventions on the pandemic’s spread. Liu et. al., (2022) use a lasso regression model to compute reproduction numbers associated with government control and prevention policies. </w:t>
      </w:r>
      <w:proofErr w:type="spellStart"/>
      <w:r w:rsidRPr="009872B0">
        <w:rPr>
          <w:rFonts w:ascii="Times New Roman" w:hAnsi="Times New Roman" w:cs="Times New Roman"/>
          <w:sz w:val="24"/>
          <w:szCs w:val="24"/>
        </w:rPr>
        <w:t>Stockes</w:t>
      </w:r>
      <w:proofErr w:type="spellEnd"/>
      <w:r w:rsidRPr="009872B0">
        <w:rPr>
          <w:rFonts w:ascii="Times New Roman" w:hAnsi="Times New Roman" w:cs="Times New Roman"/>
          <w:sz w:val="24"/>
          <w:szCs w:val="24"/>
        </w:rPr>
        <w:t xml:space="preserve"> et. al. (2022) use a multivariate regression model to understand the relative impact of NPIs on mortality rates. </w:t>
      </w:r>
      <w:proofErr w:type="spellStart"/>
      <w:r w:rsidRPr="009872B0">
        <w:rPr>
          <w:rFonts w:ascii="Times New Roman" w:hAnsi="Times New Roman" w:cs="Times New Roman"/>
          <w:sz w:val="24"/>
          <w:szCs w:val="24"/>
        </w:rPr>
        <w:t>Huy</w:t>
      </w:r>
      <w:proofErr w:type="spellEnd"/>
      <w:r w:rsidRPr="009872B0">
        <w:rPr>
          <w:rFonts w:ascii="Times New Roman" w:hAnsi="Times New Roman" w:cs="Times New Roman"/>
          <w:sz w:val="24"/>
          <w:szCs w:val="24"/>
        </w:rPr>
        <w:t xml:space="preserve"> et. al., (2022) apply Longitudinal correlation analysis to examine the effectiveness of NPIs on decreasing the epidemic growth of SARS-COV-2 between, before and after the vaccine roll-outs period. Ge et. al., 2022, Leech et. al., (2022), </w:t>
      </w:r>
      <w:proofErr w:type="spellStart"/>
      <w:r w:rsidRPr="009872B0">
        <w:rPr>
          <w:rFonts w:ascii="Times New Roman" w:hAnsi="Times New Roman" w:cs="Times New Roman"/>
          <w:sz w:val="24"/>
          <w:szCs w:val="24"/>
        </w:rPr>
        <w:t>Bahnholzer</w:t>
      </w:r>
      <w:proofErr w:type="spellEnd"/>
      <w:r w:rsidRPr="009872B0">
        <w:rPr>
          <w:rFonts w:ascii="Times New Roman" w:hAnsi="Times New Roman" w:cs="Times New Roman"/>
          <w:sz w:val="24"/>
          <w:szCs w:val="24"/>
        </w:rPr>
        <w:t xml:space="preserve"> et. a., (2022), Ge et. al., (2022) and Lawson &amp; </w:t>
      </w:r>
      <w:proofErr w:type="spellStart"/>
      <w:r w:rsidRPr="009872B0">
        <w:rPr>
          <w:rFonts w:ascii="Times New Roman" w:hAnsi="Times New Roman" w:cs="Times New Roman"/>
          <w:sz w:val="24"/>
          <w:szCs w:val="24"/>
        </w:rPr>
        <w:t>Rotejanaprasert</w:t>
      </w:r>
      <w:proofErr w:type="spellEnd"/>
      <w:r w:rsidRPr="009872B0">
        <w:rPr>
          <w:rFonts w:ascii="Times New Roman" w:hAnsi="Times New Roman" w:cs="Times New Roman"/>
          <w:sz w:val="24"/>
          <w:szCs w:val="24"/>
        </w:rPr>
        <w:t xml:space="preserve"> (2023) utilize Bayesian inference models with different criteria applied in various geographical areas. Liu et. al., (2022) and Zhou et. al., (2022) are among the rare studies, which apply deep learning methods to analyze the efficacy of government SARS-COV-2 intervention policies. The majority of deep learning approaches within the recent pandemic context are comprising time series analysis focusing on forecasting the spread of the virus (e.g. case prediction) </w:t>
      </w:r>
      <w:r w:rsidRPr="009872B0">
        <w:rPr>
          <w:rFonts w:ascii="Times New Roman" w:hAnsi="Times New Roman" w:cs="Times New Roman"/>
          <w:i/>
          <w:iCs/>
          <w:sz w:val="24"/>
          <w:szCs w:val="24"/>
        </w:rPr>
        <w:t>n</w:t>
      </w:r>
      <w:r w:rsidRPr="009872B0">
        <w:rPr>
          <w:rFonts w:ascii="Times New Roman" w:hAnsi="Times New Roman" w:cs="Times New Roman"/>
          <w:sz w:val="24"/>
          <w:szCs w:val="24"/>
        </w:rPr>
        <w:t xml:space="preserve"> days ahead of the time based on the previous times statistic reports as input (see e.g. Xu et al., 2022; </w:t>
      </w:r>
      <w:proofErr w:type="spellStart"/>
      <w:r w:rsidRPr="009872B0">
        <w:rPr>
          <w:rFonts w:ascii="Times New Roman" w:hAnsi="Times New Roman" w:cs="Times New Roman"/>
          <w:sz w:val="24"/>
          <w:szCs w:val="24"/>
        </w:rPr>
        <w:t>Verma</w:t>
      </w:r>
      <w:proofErr w:type="spellEnd"/>
      <w:r w:rsidRPr="009872B0">
        <w:rPr>
          <w:rFonts w:ascii="Times New Roman" w:hAnsi="Times New Roman" w:cs="Times New Roman"/>
          <w:sz w:val="24"/>
          <w:szCs w:val="24"/>
        </w:rPr>
        <w:t xml:space="preserve"> et al., 2022; </w:t>
      </w:r>
      <w:proofErr w:type="spellStart"/>
      <w:r w:rsidRPr="009872B0">
        <w:rPr>
          <w:rFonts w:ascii="Times New Roman" w:hAnsi="Times New Roman" w:cs="Times New Roman"/>
          <w:sz w:val="24"/>
          <w:szCs w:val="24"/>
        </w:rPr>
        <w:t>Alassafi</w:t>
      </w:r>
      <w:proofErr w:type="spellEnd"/>
      <w:r w:rsidRPr="009872B0">
        <w:rPr>
          <w:rFonts w:ascii="Times New Roman" w:hAnsi="Times New Roman" w:cs="Times New Roman"/>
          <w:sz w:val="24"/>
          <w:szCs w:val="24"/>
        </w:rPr>
        <w:t xml:space="preserve"> et al., 2022; Sinha et al., 2022).</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Not all the above mentioned studies focus on research regarding the effect of the </w:t>
      </w:r>
      <w:r w:rsidRPr="009872B0">
        <w:rPr>
          <w:rFonts w:ascii="Times New Roman" w:hAnsi="Times New Roman" w:cs="Times New Roman"/>
          <w:i/>
          <w:iCs/>
          <w:sz w:val="24"/>
          <w:szCs w:val="24"/>
        </w:rPr>
        <w:t>individual</w:t>
      </w:r>
      <w:r w:rsidRPr="009872B0">
        <w:rPr>
          <w:rFonts w:ascii="Times New Roman" w:hAnsi="Times New Roman" w:cs="Times New Roman"/>
          <w:sz w:val="24"/>
          <w:szCs w:val="24"/>
        </w:rPr>
        <w:t xml:space="preserve"> sets of government policies. </w:t>
      </w:r>
      <w:proofErr w:type="spellStart"/>
      <w:r w:rsidRPr="009872B0">
        <w:rPr>
          <w:rFonts w:ascii="Times New Roman" w:hAnsi="Times New Roman" w:cs="Times New Roman"/>
          <w:sz w:val="24"/>
          <w:szCs w:val="24"/>
        </w:rPr>
        <w:t>Bahnholzer</w:t>
      </w:r>
      <w:proofErr w:type="spellEnd"/>
      <w:r w:rsidRPr="009872B0">
        <w:rPr>
          <w:rFonts w:ascii="Times New Roman" w:hAnsi="Times New Roman" w:cs="Times New Roman"/>
          <w:sz w:val="24"/>
          <w:szCs w:val="24"/>
        </w:rPr>
        <w:t xml:space="preserve"> et. al., (2022) estimate country-specific differences of the effectiveness of overall NPIs.  Lawson &amp; </w:t>
      </w:r>
      <w:proofErr w:type="spellStart"/>
      <w:r w:rsidRPr="009872B0">
        <w:rPr>
          <w:rFonts w:ascii="Times New Roman" w:hAnsi="Times New Roman" w:cs="Times New Roman"/>
          <w:sz w:val="24"/>
          <w:szCs w:val="24"/>
        </w:rPr>
        <w:t>Rotejanaprasert</w:t>
      </w:r>
      <w:proofErr w:type="spellEnd"/>
      <w:r w:rsidRPr="009872B0">
        <w:rPr>
          <w:rFonts w:ascii="Times New Roman" w:hAnsi="Times New Roman" w:cs="Times New Roman"/>
          <w:sz w:val="24"/>
          <w:szCs w:val="24"/>
        </w:rPr>
        <w:t xml:space="preserve"> (2023) analyze the spread of SARS-COV-2 to assess the possible counter-factual realization of disease spread in an incidence that would have been evidenced with no NPI. Ge et. al., 2022 analyze the effect of NPIs’ </w:t>
      </w:r>
      <w:r w:rsidRPr="009872B0">
        <w:rPr>
          <w:rFonts w:ascii="Times New Roman" w:hAnsi="Times New Roman" w:cs="Times New Roman"/>
          <w:i/>
          <w:iCs/>
          <w:sz w:val="24"/>
          <w:szCs w:val="24"/>
        </w:rPr>
        <w:t>stringency</w:t>
      </w:r>
      <w:r w:rsidRPr="009872B0">
        <w:rPr>
          <w:rFonts w:ascii="Times New Roman" w:hAnsi="Times New Roman" w:cs="Times New Roman"/>
          <w:sz w:val="24"/>
          <w:szCs w:val="24"/>
        </w:rPr>
        <w:t xml:space="preserve"> and vaccination together to reduce the transmission of the pandemic. </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Those studies, which look into the effect of individual NPIs, are applied within various regions and come out to some extent with various results. Li et. al., (2022) find that mass gathering restrictions and school closings are associated with the largest average reductions in infection rates in large scale epidemic areas. While studying the effects of government policies from the empirical changes of weekly growth rates within different pandemic waves in 133 countries before vaccine </w:t>
      </w:r>
      <w:r w:rsidRPr="009872B0">
        <w:rPr>
          <w:rFonts w:ascii="Times New Roman" w:hAnsi="Times New Roman" w:cs="Times New Roman"/>
          <w:sz w:val="24"/>
          <w:szCs w:val="24"/>
        </w:rPr>
        <w:lastRenderedPageBreak/>
        <w:t>roll-outs, Ge et. al., (2022) find that gathering restrictions and facial coverings play significant roles in epidemic mitigation.</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Among Asian countries, the facial covering policy in the pre-vaccination period and restrictions on gatherings and public transport closure in the post-vaccination period, are the most effective interventions, according to </w:t>
      </w:r>
      <w:proofErr w:type="spellStart"/>
      <w:r w:rsidRPr="009872B0">
        <w:rPr>
          <w:rFonts w:ascii="Times New Roman" w:hAnsi="Times New Roman" w:cs="Times New Roman"/>
          <w:sz w:val="24"/>
          <w:szCs w:val="24"/>
        </w:rPr>
        <w:t>Huy</w:t>
      </w:r>
      <w:proofErr w:type="spellEnd"/>
      <w:r w:rsidRPr="009872B0">
        <w:rPr>
          <w:rFonts w:ascii="Times New Roman" w:hAnsi="Times New Roman" w:cs="Times New Roman"/>
          <w:sz w:val="24"/>
          <w:szCs w:val="24"/>
        </w:rPr>
        <w:t xml:space="preserve"> et. al., (2022). </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Liu et. al., (2022) (using lasso regression model) conclude that the rate of masks used in individual prevention does not seem to be related to cumulative mortality or morbidity in European countries, but that the mobility index generated by personal behavior might be the more important prevention policy. </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Leech et. al., (2022) aim at declaring the inconsistency regarding the effects of mask wearing in the literature. They focus on how masks mandates represent a poor proxy for mask-wearing effectiveness. They study 56 countries between May and September 2020 and conclude that mask wearing reduces the reproduction rate of SARS-CoV-2 by 19 percent.</w:t>
      </w:r>
    </w:p>
    <w:p w:rsidR="00896D6C" w:rsidRPr="009872B0" w:rsidRDefault="002D7DE5" w:rsidP="00544C21">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Evidence-based research into the effectiveness of government SARS-CoV-2 policies is still under progress and can be traced through the recent literature e.g. in the works of </w:t>
      </w:r>
      <w:proofErr w:type="spellStart"/>
      <w:r w:rsidR="00CB4C4B" w:rsidRPr="009872B0">
        <w:rPr>
          <w:rFonts w:ascii="Times New Roman" w:hAnsi="Times New Roman" w:cs="Times New Roman"/>
          <w:sz w:val="24"/>
          <w:szCs w:val="24"/>
        </w:rPr>
        <w:t>Chirwa</w:t>
      </w:r>
      <w:proofErr w:type="spellEnd"/>
      <w:r w:rsidRPr="009872B0">
        <w:rPr>
          <w:rFonts w:ascii="Times New Roman" w:hAnsi="Times New Roman" w:cs="Times New Roman"/>
          <w:sz w:val="24"/>
          <w:szCs w:val="24"/>
        </w:rPr>
        <w:t xml:space="preserve"> et</w:t>
      </w:r>
      <w:r w:rsidR="00B4611F" w:rsidRPr="009872B0">
        <w:rPr>
          <w:rFonts w:ascii="Times New Roman" w:hAnsi="Times New Roman" w:cs="Times New Roman"/>
          <w:sz w:val="24"/>
          <w:szCs w:val="24"/>
        </w:rPr>
        <w:t>.</w:t>
      </w:r>
      <w:r w:rsidRPr="009872B0">
        <w:rPr>
          <w:rFonts w:ascii="Times New Roman" w:hAnsi="Times New Roman" w:cs="Times New Roman"/>
          <w:sz w:val="24"/>
          <w:szCs w:val="24"/>
        </w:rPr>
        <w:t xml:space="preserve"> al. </w:t>
      </w:r>
      <w:r w:rsidRPr="009872B0">
        <w:rPr>
          <w:rFonts w:ascii="Times New Roman" w:hAnsi="Times New Roman" w:cs="Times New Roman"/>
          <w:sz w:val="24"/>
          <w:szCs w:val="24"/>
          <w:lang w:val="de-DE"/>
        </w:rPr>
        <w:t xml:space="preserve">(2023), Pozo-Martin et. al. (2023), </w:t>
      </w:r>
      <w:r w:rsidR="00B4611F" w:rsidRPr="009872B0">
        <w:rPr>
          <w:rFonts w:ascii="Times New Roman" w:hAnsi="Times New Roman" w:cs="Times New Roman"/>
          <w:sz w:val="24"/>
          <w:szCs w:val="24"/>
          <w:lang w:val="de-DE"/>
        </w:rPr>
        <w:t>Damette</w:t>
      </w:r>
      <w:r w:rsidRPr="009872B0">
        <w:rPr>
          <w:rFonts w:ascii="Times New Roman" w:hAnsi="Times New Roman" w:cs="Times New Roman"/>
          <w:sz w:val="24"/>
          <w:szCs w:val="24"/>
          <w:lang w:val="de-DE"/>
        </w:rPr>
        <w:t xml:space="preserve"> et. al. (2023), Nguyen et. al. </w:t>
      </w:r>
      <w:r w:rsidRPr="009872B0">
        <w:rPr>
          <w:rFonts w:ascii="Times New Roman" w:hAnsi="Times New Roman" w:cs="Times New Roman"/>
          <w:sz w:val="24"/>
          <w:szCs w:val="24"/>
        </w:rPr>
        <w:t>(203)</w:t>
      </w:r>
      <w:r w:rsidR="00B4611F" w:rsidRPr="009872B0">
        <w:rPr>
          <w:rFonts w:ascii="Times New Roman" w:hAnsi="Times New Roman" w:cs="Times New Roman"/>
          <w:sz w:val="24"/>
          <w:szCs w:val="24"/>
        </w:rPr>
        <w:t xml:space="preserve">, </w:t>
      </w:r>
      <w:proofErr w:type="spellStart"/>
      <w:r w:rsidR="00B4611F" w:rsidRPr="009872B0">
        <w:rPr>
          <w:rFonts w:ascii="Times New Roman" w:hAnsi="Times New Roman" w:cs="Times New Roman"/>
          <w:sz w:val="24"/>
          <w:szCs w:val="24"/>
        </w:rPr>
        <w:t>Kamineni</w:t>
      </w:r>
      <w:proofErr w:type="spellEnd"/>
      <w:r w:rsidR="00B4611F" w:rsidRPr="009872B0">
        <w:rPr>
          <w:rFonts w:ascii="Times New Roman" w:hAnsi="Times New Roman" w:cs="Times New Roman"/>
          <w:sz w:val="24"/>
          <w:szCs w:val="24"/>
        </w:rPr>
        <w:t xml:space="preserve"> et. al. (2023)</w:t>
      </w:r>
      <w:r w:rsidR="003D14C8" w:rsidRPr="009872B0">
        <w:rPr>
          <w:rFonts w:ascii="Times New Roman" w:hAnsi="Times New Roman" w:cs="Times New Roman"/>
          <w:sz w:val="24"/>
          <w:szCs w:val="24"/>
        </w:rPr>
        <w:t>, Novak et. al. (2023)</w:t>
      </w:r>
      <w:r w:rsidRPr="009872B0">
        <w:rPr>
          <w:rFonts w:ascii="Times New Roman" w:hAnsi="Times New Roman" w:cs="Times New Roman"/>
          <w:sz w:val="24"/>
          <w:szCs w:val="24"/>
        </w:rPr>
        <w:t xml:space="preserve"> and </w:t>
      </w:r>
      <w:proofErr w:type="spellStart"/>
      <w:r w:rsidRPr="009872B0">
        <w:rPr>
          <w:rFonts w:ascii="Times New Roman" w:hAnsi="Times New Roman" w:cs="Times New Roman"/>
          <w:sz w:val="24"/>
          <w:szCs w:val="24"/>
        </w:rPr>
        <w:t>Pung</w:t>
      </w:r>
      <w:proofErr w:type="spellEnd"/>
      <w:r w:rsidRPr="009872B0">
        <w:rPr>
          <w:rFonts w:ascii="Times New Roman" w:hAnsi="Times New Roman" w:cs="Times New Roman"/>
          <w:sz w:val="24"/>
          <w:szCs w:val="24"/>
        </w:rPr>
        <w:t xml:space="preserve"> et. al. (2023). This paper departs from the preceding context methodologically and through its scope of research. </w:t>
      </w:r>
      <w:r w:rsidR="00544C21">
        <w:rPr>
          <w:rFonts w:ascii="Times New Roman" w:hAnsi="Times New Roman" w:cs="Times New Roman"/>
          <w:sz w:val="24"/>
          <w:szCs w:val="24"/>
        </w:rPr>
        <w:t>We</w:t>
      </w:r>
      <w:r w:rsidRPr="009872B0">
        <w:rPr>
          <w:rFonts w:ascii="Times New Roman" w:hAnsi="Times New Roman" w:cs="Times New Roman"/>
          <w:sz w:val="24"/>
          <w:szCs w:val="24"/>
        </w:rPr>
        <w:t xml:space="preserve"> utilize a deep convolutional Bayesian neural network to examine the role of government policies based on the data of 30 European countries.</w:t>
      </w:r>
    </w:p>
    <w:p w:rsidR="00896D6C" w:rsidRPr="009872B0" w:rsidRDefault="002D7DE5">
      <w:pPr>
        <w:pStyle w:val="Heading2"/>
        <w:numPr>
          <w:ilvl w:val="0"/>
          <w:numId w:val="5"/>
        </w:numPr>
        <w:spacing w:line="360" w:lineRule="auto"/>
        <w:rPr>
          <w:rFonts w:ascii="Times New Roman" w:hAnsi="Times New Roman" w:cs="Times New Roman"/>
          <w:sz w:val="28"/>
          <w:szCs w:val="28"/>
        </w:rPr>
      </w:pPr>
      <w:r w:rsidRPr="009872B0">
        <w:rPr>
          <w:rFonts w:ascii="Times New Roman" w:hAnsi="Times New Roman" w:cs="Times New Roman"/>
          <w:sz w:val="28"/>
          <w:szCs w:val="28"/>
        </w:rPr>
        <w:t>Analysis basis</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3.1 Basic response variable</w:t>
      </w:r>
    </w:p>
    <w:p w:rsidR="00896D6C" w:rsidRPr="009872B0" w:rsidRDefault="002D7DE5" w:rsidP="000D0257">
      <w:pPr>
        <w:pStyle w:val="FootnoteText"/>
        <w:spacing w:line="360" w:lineRule="auto"/>
        <w:jc w:val="both"/>
        <w:rPr>
          <w:rStyle w:val="markedcontent"/>
          <w:rFonts w:ascii="Times New Roman" w:eastAsia="Arial" w:hAnsi="Times New Roman" w:cs="Times New Roman"/>
          <w:sz w:val="24"/>
          <w:szCs w:val="24"/>
        </w:rPr>
      </w:pPr>
      <w:r w:rsidRPr="009872B0">
        <w:rPr>
          <w:rStyle w:val="markedcontent"/>
          <w:rFonts w:ascii="Times New Roman" w:hAnsi="Times New Roman" w:cs="Times New Roman"/>
          <w:sz w:val="24"/>
          <w:szCs w:val="24"/>
        </w:rPr>
        <w:t xml:space="preserve">In line with preceding literature of </w:t>
      </w:r>
      <w:r w:rsidRPr="009872B0">
        <w:rPr>
          <w:rFonts w:ascii="Times New Roman" w:hAnsi="Times New Roman" w:cs="Times New Roman"/>
          <w:sz w:val="24"/>
          <w:szCs w:val="24"/>
        </w:rPr>
        <w:t>SARS-CoV-2 policy</w:t>
      </w:r>
      <w:r w:rsidRPr="009872B0">
        <w:rPr>
          <w:rStyle w:val="markedcontent"/>
          <w:rFonts w:ascii="Times New Roman" w:hAnsi="Times New Roman" w:cs="Times New Roman"/>
          <w:sz w:val="24"/>
          <w:szCs w:val="24"/>
        </w:rPr>
        <w:t xml:space="preserve"> analysis we utilize</w:t>
      </w:r>
      <w:r w:rsidR="000D0257">
        <w:rPr>
          <w:rStyle w:val="markedcontent"/>
          <w:rFonts w:ascii="Times New Roman" w:hAnsi="Times New Roman" w:cs="Times New Roman"/>
          <w:sz w:val="24"/>
          <w:szCs w:val="24"/>
        </w:rPr>
        <w:t xml:space="preserve"> a concept analogous to</w:t>
      </w:r>
      <w:r w:rsidRPr="009872B0">
        <w:rPr>
          <w:rStyle w:val="markedcontent"/>
          <w:rFonts w:ascii="Times New Roman" w:hAnsi="Times New Roman" w:cs="Times New Roman"/>
          <w:sz w:val="24"/>
          <w:szCs w:val="24"/>
        </w:rPr>
        <w:t xml:space="preserve"> the </w:t>
      </w:r>
      <w:r w:rsidRPr="009872B0">
        <w:rPr>
          <w:rStyle w:val="markedcontent"/>
          <w:rFonts w:ascii="Times New Roman" w:hAnsi="Times New Roman" w:cs="Times New Roman"/>
          <w:i/>
          <w:iCs/>
          <w:sz w:val="24"/>
          <w:szCs w:val="24"/>
        </w:rPr>
        <w:t>reproduction rate</w:t>
      </w:r>
      <w:r w:rsidRPr="009872B0">
        <w:rPr>
          <w:rStyle w:val="markedcontent"/>
          <w:rFonts w:ascii="Times New Roman" w:hAnsi="Times New Roman" w:cs="Times New Roman"/>
          <w:sz w:val="24"/>
          <w:szCs w:val="24"/>
        </w:rPr>
        <w:t xml:space="preserve">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Pr="009872B0">
        <w:rPr>
          <w:rStyle w:val="markedcontent"/>
          <w:rFonts w:ascii="Times New Roman" w:hAnsi="Times New Roman" w:cs="Times New Roman"/>
          <w:sz w:val="24"/>
          <w:szCs w:val="24"/>
        </w:rPr>
        <w:t xml:space="preserve"> of the pandemic as the main </w:t>
      </w:r>
      <w:r w:rsidRPr="009872B0">
        <w:rPr>
          <w:rStyle w:val="markedcontent"/>
          <w:rFonts w:ascii="Times New Roman" w:hAnsi="Times New Roman" w:cs="Times New Roman"/>
          <w:i/>
          <w:iCs/>
          <w:sz w:val="24"/>
          <w:szCs w:val="24"/>
        </w:rPr>
        <w:t>response</w:t>
      </w:r>
      <w:r w:rsidRPr="009872B0">
        <w:rPr>
          <w:rStyle w:val="markedcontent"/>
          <w:rFonts w:ascii="Times New Roman" w:hAnsi="Times New Roman" w:cs="Times New Roman"/>
          <w:sz w:val="24"/>
          <w:szCs w:val="24"/>
        </w:rPr>
        <w:t xml:space="preserve"> variable to a number of </w:t>
      </w:r>
      <w:r w:rsidRPr="009872B0">
        <w:rPr>
          <w:rStyle w:val="markedcontent"/>
          <w:rFonts w:ascii="Times New Roman" w:hAnsi="Times New Roman" w:cs="Times New Roman"/>
          <w:i/>
          <w:iCs/>
          <w:sz w:val="24"/>
          <w:szCs w:val="24"/>
        </w:rPr>
        <w:t>explanatory</w:t>
      </w:r>
      <w:r w:rsidRPr="009872B0">
        <w:rPr>
          <w:rStyle w:val="markedcontent"/>
          <w:rFonts w:ascii="Times New Roman" w:hAnsi="Times New Roman" w:cs="Times New Roman"/>
          <w:sz w:val="24"/>
          <w:szCs w:val="24"/>
        </w:rPr>
        <w:t xml:space="preserve"> variables.</w:t>
      </w:r>
      <w:r w:rsidRPr="009872B0">
        <w:rPr>
          <w:rStyle w:val="FootnoteReference"/>
          <w:rFonts w:ascii="Times New Roman" w:hAnsi="Times New Roman" w:cs="Times New Roman"/>
          <w:sz w:val="24"/>
          <w:szCs w:val="24"/>
        </w:rPr>
        <w:footnoteReference w:id="1"/>
      </w:r>
      <w:r w:rsidRPr="009872B0">
        <w:rPr>
          <w:rStyle w:val="markedcontent"/>
          <w:rFonts w:ascii="Times New Roman" w:hAnsi="Times New Roman" w:cs="Times New Roman"/>
          <w:sz w:val="24"/>
          <w:szCs w:val="24"/>
        </w:rPr>
        <w:t xml:space="preserve"> </w:t>
      </w:r>
    </w:p>
    <w:p w:rsidR="00896D6C" w:rsidRPr="009872B0" w:rsidRDefault="008B2BC5" w:rsidP="00B83ED7">
      <w:pPr>
        <w:pStyle w:val="FootnoteText"/>
        <w:spacing w:line="360" w:lineRule="auto"/>
        <w:jc w:val="both"/>
        <w:rPr>
          <w:rFonts w:ascii="Times New Roman" w:hAnsi="Times New Roman" w:cs="Times New Roman"/>
          <w:sz w:val="24"/>
          <w:szCs w:val="24"/>
        </w:rPr>
      </w:pPr>
      <w:r w:rsidRPr="008B2BC5">
        <w:rPr>
          <w:rFonts w:ascii="Times New Roman" w:hAnsi="Times New Roman" w:cs="Times New Roman"/>
          <w:sz w:val="24"/>
          <w:szCs w:val="24"/>
        </w:rPr>
        <w:lastRenderedPageBreak/>
        <w:t xml:space="preserve">The calculation of the point estimate of reproduction number </w:t>
      </w:r>
      <m:oMath>
        <m:sSub>
          <m:sSubPr>
            <m:ctrlPr>
              <w:rPr>
                <w:rFonts w:ascii="Cambria Math" w:hAnsi="Cambria Math" w:cs="Times New Roman"/>
                <w:i/>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Pr="008B2BC5">
        <w:rPr>
          <w:rFonts w:ascii="Times New Roman" w:hAnsi="Times New Roman" w:cs="Times New Roman"/>
          <w:sz w:val="24"/>
          <w:szCs w:val="24"/>
        </w:rPr>
        <w:t xml:space="preserve"> for a given day </w:t>
      </w:r>
      <w:proofErr w:type="spellStart"/>
      <w:r w:rsidRPr="008B2BC5">
        <w:rPr>
          <w:rFonts w:ascii="Times New Roman" w:hAnsi="Times New Roman" w:cs="Times New Roman"/>
          <w:i/>
          <w:iCs/>
          <w:sz w:val="24"/>
          <w:szCs w:val="24"/>
        </w:rPr>
        <w:t>i</w:t>
      </w:r>
      <w:proofErr w:type="spellEnd"/>
      <w:r w:rsidRPr="008B2BC5">
        <w:rPr>
          <w:rFonts w:ascii="Times New Roman" w:hAnsi="Times New Roman" w:cs="Times New Roman"/>
          <w:sz w:val="24"/>
          <w:szCs w:val="24"/>
        </w:rPr>
        <w:t xml:space="preserve"> is </w:t>
      </w:r>
      <w:r w:rsidR="00B83ED7">
        <w:rPr>
          <w:rFonts w:ascii="Times New Roman" w:hAnsi="Times New Roman" w:cs="Times New Roman"/>
          <w:sz w:val="24"/>
          <w:szCs w:val="24"/>
        </w:rPr>
        <w:t>defined</w:t>
      </w:r>
      <w:r w:rsidRPr="008B2BC5">
        <w:rPr>
          <w:rFonts w:ascii="Times New Roman" w:hAnsi="Times New Roman" w:cs="Times New Roman"/>
          <w:sz w:val="24"/>
          <w:szCs w:val="24"/>
        </w:rPr>
        <w:t xml:space="preserve"> as the simple quotient of the number of new cases for that day divided by the number of new cases 7 days </w:t>
      </w:r>
      <w:r w:rsidRPr="008B2BC5">
        <w:rPr>
          <w:rFonts w:ascii="Times New Roman" w:hAnsi="Times New Roman" w:cs="Times New Roman"/>
          <w:i/>
          <w:sz w:val="24"/>
          <w:szCs w:val="24"/>
        </w:rPr>
        <w:t>before</w:t>
      </w:r>
      <w:r w:rsidRPr="008B2BC5">
        <w:rPr>
          <w:rFonts w:ascii="Times New Roman" w:hAnsi="Times New Roman" w:cs="Times New Roman"/>
          <w:sz w:val="24"/>
          <w:szCs w:val="24"/>
        </w:rPr>
        <w:t xml:space="preserve"> (</w:t>
      </w:r>
      <w:proofErr w:type="spellStart"/>
      <w:r w:rsidRPr="008B2BC5">
        <w:fldChar w:fldCharType="begin"/>
      </w:r>
      <w:r w:rsidRPr="008B2BC5">
        <w:rPr>
          <w:rFonts w:ascii="Times New Roman" w:hAnsi="Times New Roman" w:cs="Times New Roman"/>
          <w:sz w:val="24"/>
          <w:szCs w:val="24"/>
        </w:rPr>
        <w:instrText xml:space="preserve"> HYPERLINK "https://de.statista.com/statistik/daten/studie/1117478/umfrage/reproduktionszahl-des-coronavirus-covid-19-in-deutschland/" \o "https://de.statista.com/" </w:instrText>
      </w:r>
      <w:r w:rsidRPr="008B2BC5">
        <w:fldChar w:fldCharType="separate"/>
      </w:r>
      <w:r w:rsidRPr="008B2BC5">
        <w:rPr>
          <w:rStyle w:val="Hyperlink"/>
          <w:rFonts w:ascii="Times New Roman" w:hAnsi="Times New Roman" w:cs="Times New Roman"/>
          <w:sz w:val="24"/>
          <w:szCs w:val="24"/>
        </w:rPr>
        <w:t>statista</w:t>
      </w:r>
      <w:proofErr w:type="spellEnd"/>
      <w:r w:rsidRPr="008B2BC5">
        <w:rPr>
          <w:rStyle w:val="Hyperlink"/>
          <w:rFonts w:ascii="Times New Roman" w:hAnsi="Times New Roman" w:cs="Times New Roman"/>
          <w:sz w:val="24"/>
          <w:szCs w:val="24"/>
        </w:rPr>
        <w:fldChar w:fldCharType="end"/>
      </w:r>
      <w:r w:rsidRPr="008B2BC5">
        <w:rPr>
          <w:rFonts w:ascii="Times New Roman" w:hAnsi="Times New Roman" w:cs="Times New Roman"/>
          <w:sz w:val="24"/>
          <w:szCs w:val="24"/>
        </w:rPr>
        <w:t xml:space="preserve">). </w:t>
      </w:r>
      <w:r w:rsidR="00B83ED7" w:rsidRPr="008B2BC5">
        <w:rPr>
          <w:rFonts w:ascii="Times New Roman" w:hAnsi="Times New Roman" w:cs="Times New Roman"/>
          <w:sz w:val="24"/>
          <w:szCs w:val="24"/>
        </w:rPr>
        <w:t>Though</w:t>
      </w:r>
      <w:r w:rsidRPr="008B2BC5">
        <w:rPr>
          <w:rFonts w:ascii="Times New Roman" w:hAnsi="Times New Roman" w:cs="Times New Roman"/>
          <w:sz w:val="24"/>
          <w:szCs w:val="24"/>
        </w:rPr>
        <w:t>, a</w:t>
      </w:r>
      <w:r w:rsidR="002D7DE5" w:rsidRPr="008B2BC5">
        <w:rPr>
          <w:rFonts w:ascii="Times New Roman" w:hAnsi="Times New Roman" w:cs="Times New Roman"/>
          <w:sz w:val="24"/>
          <w:szCs w:val="24"/>
        </w:rPr>
        <w:t xml:space="preserve">s </w:t>
      </w:r>
      <w:r w:rsidR="004D3DF0" w:rsidRPr="008B2BC5">
        <w:rPr>
          <w:rFonts w:ascii="Times New Roman" w:hAnsi="Times New Roman" w:cs="Times New Roman"/>
          <w:sz w:val="24"/>
          <w:szCs w:val="24"/>
        </w:rPr>
        <w:t>one</w:t>
      </w:r>
      <w:r w:rsidR="002D7DE5" w:rsidRPr="009872B0">
        <w:rPr>
          <w:rFonts w:ascii="Times New Roman" w:hAnsi="Times New Roman" w:cs="Times New Roman"/>
          <w:sz w:val="24"/>
          <w:szCs w:val="24"/>
        </w:rPr>
        <w:t xml:space="preserve"> cannot assign the consequent effect of a set of explanatory variables in an arbitrary day </w:t>
      </w:r>
      <w:proofErr w:type="spellStart"/>
      <w:r w:rsidR="002D7DE5" w:rsidRPr="009872B0">
        <w:rPr>
          <w:rFonts w:ascii="Times New Roman" w:hAnsi="Times New Roman" w:cs="Times New Roman"/>
          <w:i/>
          <w:iCs/>
          <w:sz w:val="24"/>
          <w:szCs w:val="24"/>
        </w:rPr>
        <w:t>i</w:t>
      </w:r>
      <w:proofErr w:type="spellEnd"/>
      <w:r w:rsidR="002D7DE5" w:rsidRPr="009872B0">
        <w:rPr>
          <w:rFonts w:ascii="Times New Roman" w:hAnsi="Times New Roman" w:cs="Times New Roman"/>
          <w:sz w:val="24"/>
          <w:szCs w:val="24"/>
        </w:rPr>
        <w:t xml:space="preserve">, exactly to the same day’s reported official statistics (i.e. reported reproduction numbers of that individual day </w:t>
      </w:r>
      <w:proofErr w:type="spellStart"/>
      <w:r w:rsidR="002D7DE5" w:rsidRPr="009872B0">
        <w:rPr>
          <w:rFonts w:ascii="Times New Roman" w:hAnsi="Times New Roman" w:cs="Times New Roman"/>
          <w:i/>
          <w:iCs/>
          <w:sz w:val="24"/>
          <w:szCs w:val="24"/>
        </w:rPr>
        <w:t>i</w:t>
      </w:r>
      <w:proofErr w:type="spellEnd"/>
      <w:r w:rsidR="000019E8">
        <w:rPr>
          <w:rFonts w:ascii="Times New Roman" w:hAnsi="Times New Roman" w:cs="Times New Roman"/>
          <w:sz w:val="24"/>
          <w:szCs w:val="24"/>
        </w:rPr>
        <w:t xml:space="preserve">), we </w:t>
      </w:r>
      <w:r w:rsidR="002D7DE5" w:rsidRPr="009872B0">
        <w:rPr>
          <w:rFonts w:ascii="Times New Roman" w:hAnsi="Times New Roman" w:cs="Times New Roman"/>
          <w:sz w:val="24"/>
          <w:szCs w:val="24"/>
        </w:rPr>
        <w:t xml:space="preserve">build our analysis based on the </w:t>
      </w:r>
      <w:r w:rsidR="002D7DE5" w:rsidRPr="009872B0">
        <w:rPr>
          <w:rFonts w:ascii="Times New Roman" w:hAnsi="Times New Roman" w:cs="Times New Roman"/>
          <w:i/>
          <w:iCs/>
          <w:sz w:val="24"/>
          <w:szCs w:val="24"/>
        </w:rPr>
        <w:t>monthly</w:t>
      </w:r>
      <w:r w:rsidR="002D7DE5" w:rsidRPr="009872B0">
        <w:rPr>
          <w:rFonts w:ascii="Times New Roman" w:hAnsi="Times New Roman" w:cs="Times New Roman"/>
          <w:sz w:val="24"/>
          <w:szCs w:val="24"/>
        </w:rPr>
        <w:t xml:space="preserve"> data h</w:t>
      </w:r>
      <w:r w:rsidR="00EA533C">
        <w:rPr>
          <w:rFonts w:ascii="Times New Roman" w:hAnsi="Times New Roman" w:cs="Times New Roman"/>
          <w:sz w:val="24"/>
          <w:szCs w:val="24"/>
        </w:rPr>
        <w:t>orizons. W</w:t>
      </w:r>
      <w:r w:rsidR="002D7DE5" w:rsidRPr="009872B0">
        <w:rPr>
          <w:rFonts w:ascii="Times New Roman" w:hAnsi="Times New Roman" w:cs="Times New Roman"/>
          <w:sz w:val="24"/>
          <w:szCs w:val="24"/>
        </w:rPr>
        <w:t>e understand a month as a c</w:t>
      </w:r>
      <w:r w:rsidR="004D3DF0">
        <w:rPr>
          <w:rFonts w:ascii="Times New Roman" w:hAnsi="Times New Roman" w:cs="Times New Roman"/>
          <w:sz w:val="24"/>
          <w:szCs w:val="24"/>
        </w:rPr>
        <w:t>losed</w:t>
      </w:r>
      <w:r w:rsidR="002D7DE5" w:rsidRPr="009872B0">
        <w:rPr>
          <w:rFonts w:ascii="Times New Roman" w:hAnsi="Times New Roman" w:cs="Times New Roman"/>
          <w:sz w:val="24"/>
          <w:szCs w:val="24"/>
        </w:rPr>
        <w:t xml:space="preserve"> time frame consisting of a total of </w:t>
      </w:r>
      <m:oMath>
        <m:r>
          <w:rPr>
            <w:rFonts w:ascii="Cambria Math" w:hAnsi="Cambria Math" w:cs="Times New Roman"/>
            <w:sz w:val="24"/>
            <w:szCs w:val="24"/>
          </w:rPr>
          <m:t>∆=</m:t>
        </m:r>
      </m:oMath>
      <w:r w:rsidR="002D7DE5" w:rsidRPr="009872B0">
        <w:rPr>
          <w:rFonts w:ascii="Times New Roman" w:hAnsi="Times New Roman" w:cs="Times New Roman"/>
          <w:i/>
          <w:sz w:val="24"/>
          <w:szCs w:val="24"/>
        </w:rPr>
        <w:t>30</w:t>
      </w:r>
      <w:r w:rsidR="002D7DE5" w:rsidRPr="009872B0">
        <w:rPr>
          <w:rFonts w:ascii="Times New Roman" w:hAnsi="Times New Roman" w:cs="Times New Roman"/>
          <w:sz w:val="24"/>
          <w:szCs w:val="24"/>
        </w:rPr>
        <w:t xml:space="preserve"> days. We then presume that the aggregate value of the sum of effects of all explanatory variables, which have been active within the time span </w:t>
      </w:r>
      <m:oMath>
        <m:r>
          <w:rPr>
            <w:rFonts w:ascii="Cambria Math" w:hAnsi="Cambria Math" w:cs="Times New Roman"/>
            <w:sz w:val="24"/>
            <w:szCs w:val="24"/>
          </w:rPr>
          <m:t>∆</m:t>
        </m:r>
      </m:oMath>
      <w:r w:rsidR="002D7DE5" w:rsidRPr="009872B0">
        <w:rPr>
          <w:rFonts w:ascii="Times New Roman" w:hAnsi="Times New Roman" w:cs="Times New Roman"/>
          <w:sz w:val="24"/>
          <w:szCs w:val="24"/>
        </w:rPr>
        <w:t xml:space="preserve"> </w:t>
      </w:r>
      <w:r w:rsidR="004D3DF0">
        <w:rPr>
          <w:rFonts w:ascii="Times New Roman" w:hAnsi="Times New Roman" w:cs="Times New Roman"/>
          <w:sz w:val="24"/>
          <w:szCs w:val="24"/>
        </w:rPr>
        <w:t>can</w:t>
      </w:r>
      <w:r w:rsidR="002D7DE5" w:rsidRPr="009872B0">
        <w:rPr>
          <w:rFonts w:ascii="Times New Roman" w:hAnsi="Times New Roman" w:cs="Times New Roman"/>
          <w:sz w:val="24"/>
          <w:szCs w:val="24"/>
        </w:rPr>
        <w:t xml:space="preserve"> enough explain the average reproduction of the pandemic corresponded to the</w:t>
      </w:r>
      <w:r w:rsidR="00FA6795">
        <w:rPr>
          <w:rFonts w:ascii="Times New Roman" w:hAnsi="Times New Roman" w:cs="Times New Roman"/>
          <w:sz w:val="24"/>
          <w:szCs w:val="24"/>
        </w:rPr>
        <w:t xml:space="preserve"> incidences at the beginning and the end of the time period</w:t>
      </w:r>
      <w:r w:rsidR="002D7DE5" w:rsidRPr="009872B0">
        <w:rPr>
          <w:rFonts w:ascii="Times New Roman" w:hAnsi="Times New Roman" w:cs="Times New Roman"/>
          <w:sz w:val="24"/>
          <w:szCs w:val="24"/>
        </w:rPr>
        <w:t xml:space="preserve"> </w:t>
      </w:r>
      <m:oMath>
        <m:r>
          <w:rPr>
            <w:rFonts w:ascii="Cambria Math" w:hAnsi="Cambria Math" w:cs="Times New Roman"/>
            <w:sz w:val="24"/>
            <w:szCs w:val="24"/>
          </w:rPr>
          <m:t xml:space="preserve">∆. </m:t>
        </m:r>
      </m:oMath>
      <w:r w:rsidR="002D7DE5" w:rsidRPr="009872B0">
        <w:rPr>
          <w:rFonts w:ascii="Times New Roman" w:hAnsi="Times New Roman" w:cs="Times New Roman"/>
          <w:sz w:val="24"/>
          <w:szCs w:val="24"/>
        </w:rPr>
        <w:t xml:space="preserve">Thereby, if the number of observed SARS-CoV-2 positive cases in a day </w:t>
      </w:r>
      <w:proofErr w:type="spellStart"/>
      <w:r w:rsidR="002D7DE5" w:rsidRPr="009872B0">
        <w:rPr>
          <w:rFonts w:ascii="Times New Roman" w:hAnsi="Times New Roman" w:cs="Times New Roman"/>
          <w:i/>
          <w:iCs/>
          <w:sz w:val="24"/>
          <w:szCs w:val="24"/>
        </w:rPr>
        <w:t>i</w:t>
      </w:r>
      <w:proofErr w:type="spellEnd"/>
      <w:r w:rsidR="002D7DE5" w:rsidRPr="009872B0">
        <w:rPr>
          <w:rFonts w:ascii="Times New Roman" w:hAnsi="Times New Roman" w:cs="Times New Roman"/>
          <w:sz w:val="24"/>
          <w:szCs w:val="24"/>
        </w:rPr>
        <w:t xml:space="preserve"> is equal to </w:t>
      </w:r>
      <w:r w:rsidR="002D7DE5" w:rsidRPr="009872B0">
        <w:rPr>
          <w:rFonts w:ascii="Times New Roman" w:hAnsi="Times New Roman" w:cs="Times New Roman"/>
          <w:i/>
          <w:iCs/>
          <w:sz w:val="24"/>
          <w:szCs w:val="24"/>
        </w:rPr>
        <w:t>I(</w:t>
      </w:r>
      <w:proofErr w:type="spellStart"/>
      <w:r w:rsidR="002D7DE5" w:rsidRPr="009872B0">
        <w:rPr>
          <w:rFonts w:ascii="Times New Roman" w:hAnsi="Times New Roman" w:cs="Times New Roman"/>
          <w:i/>
          <w:iCs/>
          <w:sz w:val="24"/>
          <w:szCs w:val="24"/>
        </w:rPr>
        <w:t>i</w:t>
      </w:r>
      <w:proofErr w:type="spellEnd"/>
      <w:r w:rsidR="002D7DE5" w:rsidRPr="009872B0">
        <w:rPr>
          <w:rFonts w:ascii="Times New Roman" w:hAnsi="Times New Roman" w:cs="Times New Roman"/>
          <w:i/>
          <w:iCs/>
          <w:sz w:val="24"/>
          <w:szCs w:val="24"/>
        </w:rPr>
        <w:t>)</w:t>
      </w:r>
      <w:r w:rsidR="002D7DE5" w:rsidRPr="009872B0">
        <w:rPr>
          <w:rFonts w:ascii="Times New Roman" w:hAnsi="Times New Roman" w:cs="Times New Roman"/>
          <w:sz w:val="24"/>
          <w:szCs w:val="24"/>
        </w:rPr>
        <w:t xml:space="preserve"> and the number of observed SARS-CoV-2 positive cases in a day </w:t>
      </w:r>
      <w:proofErr w:type="spellStart"/>
      <w:r w:rsidR="002D7DE5" w:rsidRPr="009872B0">
        <w:rPr>
          <w:rFonts w:ascii="Times New Roman" w:hAnsi="Times New Roman" w:cs="Times New Roman"/>
          <w:i/>
          <w:iCs/>
          <w:sz w:val="24"/>
          <w:szCs w:val="24"/>
        </w:rPr>
        <w:t>i</w:t>
      </w:r>
      <w:proofErr w:type="spellEnd"/>
      <w:r w:rsidR="002D7DE5" w:rsidRPr="009872B0">
        <w:rPr>
          <w:rFonts w:ascii="Times New Roman" w:hAnsi="Times New Roman" w:cs="Times New Roman"/>
          <w:i/>
          <w:iCs/>
          <w:sz w:val="24"/>
          <w:szCs w:val="24"/>
        </w:rPr>
        <w:t>+</w:t>
      </w:r>
      <m:oMath>
        <m:r>
          <w:rPr>
            <w:rFonts w:ascii="Cambria Math" w:hAnsi="Cambria Math" w:cs="Times New Roman"/>
            <w:sz w:val="24"/>
            <w:szCs w:val="24"/>
          </w:rPr>
          <m:t>∆</m:t>
        </m:r>
      </m:oMath>
      <w:r w:rsidR="002D7DE5" w:rsidRPr="009872B0">
        <w:rPr>
          <w:rFonts w:ascii="Times New Roman" w:hAnsi="Times New Roman" w:cs="Times New Roman"/>
          <w:sz w:val="24"/>
          <w:szCs w:val="24"/>
        </w:rPr>
        <w:t xml:space="preserve"> is equal to </w:t>
      </w:r>
      <w:r w:rsidR="002D7DE5" w:rsidRPr="009872B0">
        <w:rPr>
          <w:rFonts w:ascii="Times New Roman" w:hAnsi="Times New Roman" w:cs="Times New Roman"/>
          <w:i/>
          <w:iCs/>
          <w:sz w:val="24"/>
          <w:szCs w:val="24"/>
        </w:rPr>
        <w:t>I(</w:t>
      </w:r>
      <w:proofErr w:type="spellStart"/>
      <w:r w:rsidR="002D7DE5" w:rsidRPr="009872B0">
        <w:rPr>
          <w:rFonts w:ascii="Times New Roman" w:hAnsi="Times New Roman" w:cs="Times New Roman"/>
          <w:i/>
          <w:iCs/>
          <w:sz w:val="24"/>
          <w:szCs w:val="24"/>
        </w:rPr>
        <w:t>i</w:t>
      </w:r>
      <w:proofErr w:type="spellEnd"/>
      <w:r w:rsidR="002D7DE5" w:rsidRPr="009872B0">
        <w:rPr>
          <w:rFonts w:ascii="Times New Roman" w:hAnsi="Times New Roman" w:cs="Times New Roman"/>
          <w:i/>
          <w:iCs/>
          <w:sz w:val="24"/>
          <w:szCs w:val="24"/>
        </w:rPr>
        <w:t>+</w:t>
      </w:r>
      <m:oMath>
        <m:r>
          <w:rPr>
            <w:rFonts w:ascii="Cambria Math" w:hAnsi="Cambria Math" w:cs="Times New Roman"/>
            <w:sz w:val="24"/>
            <w:szCs w:val="24"/>
          </w:rPr>
          <m:t>∆</m:t>
        </m:r>
      </m:oMath>
      <w:r w:rsidR="002D7DE5" w:rsidRPr="009872B0">
        <w:rPr>
          <w:rFonts w:ascii="Times New Roman" w:hAnsi="Times New Roman" w:cs="Times New Roman"/>
          <w:i/>
          <w:iCs/>
          <w:sz w:val="24"/>
          <w:szCs w:val="24"/>
        </w:rPr>
        <w:t>)</w:t>
      </w:r>
      <w:r w:rsidR="002D7DE5" w:rsidRPr="009872B0">
        <w:rPr>
          <w:rFonts w:ascii="Times New Roman" w:hAnsi="Times New Roman" w:cs="Times New Roman"/>
          <w:sz w:val="24"/>
          <w:szCs w:val="24"/>
        </w:rPr>
        <w:t xml:space="preserve">, then, the </w:t>
      </w:r>
      <w:r w:rsidR="002D7DE5" w:rsidRPr="009872B0">
        <w:rPr>
          <w:rFonts w:ascii="Times New Roman" w:hAnsi="Times New Roman" w:cs="Times New Roman"/>
          <w:i/>
          <w:iCs/>
          <w:sz w:val="24"/>
          <w:szCs w:val="24"/>
        </w:rPr>
        <w:t>monthly</w:t>
      </w:r>
      <w:r w:rsidR="002D7DE5" w:rsidRPr="009872B0">
        <w:rPr>
          <w:rFonts w:ascii="Times New Roman" w:hAnsi="Times New Roman" w:cs="Times New Roman"/>
          <w:sz w:val="24"/>
          <w:szCs w:val="24"/>
        </w:rPr>
        <w:t xml:space="preserve"> based variable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B547A3">
        <w:rPr>
          <w:rFonts w:ascii="Times New Roman" w:hAnsi="Times New Roman" w:cs="Times New Roman"/>
          <w:sz w:val="24"/>
          <w:szCs w:val="24"/>
        </w:rPr>
        <w:t xml:space="preserve"> (</w:t>
      </w:r>
      <w:r w:rsidR="002D7DE5" w:rsidRPr="009872B0">
        <w:rPr>
          <w:rFonts w:ascii="Times New Roman" w:hAnsi="Times New Roman" w:cs="Times New Roman"/>
          <w:sz w:val="24"/>
          <w:szCs w:val="24"/>
        </w:rPr>
        <w:t xml:space="preserve">which is just </w:t>
      </w:r>
      <w:r w:rsidR="000522F6">
        <w:rPr>
          <w:rFonts w:ascii="Times New Roman" w:hAnsi="Times New Roman" w:cs="Times New Roman"/>
          <w:sz w:val="24"/>
          <w:szCs w:val="24"/>
        </w:rPr>
        <w:t xml:space="preserve">an </w:t>
      </w:r>
      <w:r w:rsidR="002D7DE5" w:rsidRPr="009872B0">
        <w:rPr>
          <w:rFonts w:ascii="Times New Roman" w:hAnsi="Times New Roman" w:cs="Times New Roman"/>
          <w:sz w:val="24"/>
          <w:szCs w:val="24"/>
        </w:rPr>
        <w:t>analogous</w:t>
      </w:r>
      <w:r w:rsidR="000522F6">
        <w:rPr>
          <w:rFonts w:ascii="Times New Roman" w:hAnsi="Times New Roman" w:cs="Times New Roman"/>
          <w:sz w:val="24"/>
          <w:szCs w:val="24"/>
        </w:rPr>
        <w:t xml:space="preserve"> term</w:t>
      </w:r>
      <w:r w:rsidR="002D7DE5" w:rsidRPr="009872B0">
        <w:rPr>
          <w:rFonts w:ascii="Times New Roman" w:hAnsi="Times New Roman" w:cs="Times New Roman"/>
          <w:sz w:val="24"/>
          <w:szCs w:val="24"/>
        </w:rPr>
        <w:t xml:space="preserve"> to the concept of reproduction rate), is defined by us, </w:t>
      </w:r>
      <w:r w:rsidR="002D7DE5" w:rsidRPr="009872B0">
        <w:rPr>
          <w:rFonts w:ascii="Times New Roman" w:hAnsi="Times New Roman" w:cs="Times New Roman"/>
          <w:i/>
          <w:iCs/>
          <w:sz w:val="24"/>
          <w:szCs w:val="24"/>
        </w:rPr>
        <w:t>at first</w:t>
      </w:r>
      <w:r w:rsidR="002D7DE5" w:rsidRPr="009872B0">
        <w:rPr>
          <w:rFonts w:ascii="Times New Roman" w:hAnsi="Times New Roman" w:cs="Times New Roman"/>
          <w:sz w:val="24"/>
          <w:szCs w:val="24"/>
        </w:rPr>
        <w:t>, according to equation (1)</w:t>
      </w:r>
    </w:p>
    <w:p w:rsidR="00896D6C" w:rsidRPr="009872B0" w:rsidRDefault="002D7DE5">
      <w:pPr>
        <w:pStyle w:val="FootnoteText"/>
        <w:spacing w:line="360" w:lineRule="auto"/>
        <w:rPr>
          <w:rFonts w:ascii="Times New Roman" w:hAnsi="Times New Roman" w:cs="Times New Roman"/>
          <w:sz w:val="24"/>
          <w:szCs w:val="24"/>
        </w:rPr>
      </w:pPr>
      <w:r w:rsidRPr="009872B0">
        <w:rPr>
          <w:rFonts w:ascii="Times New Roman" w:hAnsi="Times New Roman" w:cs="Times New Roman"/>
          <w:sz w:val="24"/>
          <w:szCs w:val="24"/>
        </w:rPr>
        <w:t xml:space="preserve">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cs="Times New Roman"/>
                <w:sz w:val="24"/>
                <w:szCs w:val="24"/>
              </w:rPr>
              <m:t>I(i+∆)</m:t>
            </m:r>
          </m:num>
          <m:den>
            <m:r>
              <w:rPr>
                <w:rFonts w:ascii="Cambria Math" w:hAnsi="Cambria Math" w:cs="Times New Roman"/>
                <w:sz w:val="24"/>
                <w:szCs w:val="24"/>
              </w:rPr>
              <m:t>I(i)</m:t>
            </m:r>
            <m:r>
              <m:rPr>
                <m:sty m:val="p"/>
              </m:rPr>
              <w:rPr>
                <w:rFonts w:ascii="Cambria Math" w:hAnsi="Cambria Math" w:cs="Times New Roman"/>
                <w:sz w:val="24"/>
                <w:szCs w:val="24"/>
              </w:rPr>
              <m:t xml:space="preserve"> </m:t>
            </m:r>
          </m:den>
        </m:f>
      </m:oMath>
      <w:r w:rsidRPr="009872B0">
        <w:rPr>
          <w:rFonts w:ascii="Times New Roman" w:hAnsi="Times New Roman" w:cs="Times New Roman"/>
          <w:sz w:val="24"/>
          <w:szCs w:val="24"/>
        </w:rPr>
        <w:t xml:space="preserve">                                                                                                                                     (1)</w:t>
      </w:r>
    </w:p>
    <w:p w:rsidR="00896D6C" w:rsidRPr="009872B0" w:rsidRDefault="002D7DE5" w:rsidP="00F407FC">
      <w:pPr>
        <w:pStyle w:val="FootnoteText"/>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As the calculation of reproduction number succeeds often by considering the 7-days average of new cases in the denominator of the quotient, we also use a simply transformed version of equation 1 in our study to work with 7-days before (beginning </w:t>
      </w:r>
      <m:oMath>
        <m:r>
          <w:rPr>
            <w:rFonts w:ascii="Cambria Math" w:hAnsi="Cambria Math" w:cs="Times New Roman"/>
            <w:sz w:val="24"/>
            <w:szCs w:val="24"/>
          </w:rPr>
          <m:t>∆</m:t>
        </m:r>
      </m:oMath>
      <w:r w:rsidRPr="009872B0">
        <w:rPr>
          <w:rFonts w:ascii="Times New Roman" w:hAnsi="Times New Roman" w:cs="Times New Roman"/>
          <w:sz w:val="24"/>
          <w:szCs w:val="24"/>
        </w:rPr>
        <w:t>)</w:t>
      </w:r>
      <w:r w:rsidR="001F1D00">
        <w:rPr>
          <w:rFonts w:ascii="Times New Roman" w:hAnsi="Times New Roman" w:cs="Times New Roman"/>
          <w:sz w:val="24"/>
          <w:szCs w:val="24"/>
        </w:rPr>
        <w:t xml:space="preserve"> smoothed</w:t>
      </w:r>
      <w:r w:rsidRPr="009872B0">
        <w:rPr>
          <w:rFonts w:ascii="Times New Roman" w:hAnsi="Times New Roman" w:cs="Times New Roman"/>
          <w:sz w:val="24"/>
          <w:szCs w:val="24"/>
        </w:rPr>
        <w:t xml:space="preserve"> and 7-days after (ending </w:t>
      </w:r>
      <m:oMath>
        <m:r>
          <w:rPr>
            <w:rFonts w:ascii="Cambria Math" w:hAnsi="Cambria Math" w:cs="Times New Roman"/>
            <w:sz w:val="24"/>
            <w:szCs w:val="24"/>
          </w:rPr>
          <m:t>∆</m:t>
        </m:r>
      </m:oMath>
      <w:r w:rsidRPr="009872B0">
        <w:rPr>
          <w:rFonts w:ascii="Times New Roman" w:hAnsi="Times New Roman" w:cs="Times New Roman"/>
          <w:sz w:val="24"/>
          <w:szCs w:val="24"/>
        </w:rPr>
        <w:t>) smoothed data in the denominator and numerator of equation (1), respectively as described in equation (2):</w:t>
      </w:r>
    </w:p>
    <w:p w:rsidR="00896D6C" w:rsidRPr="009872B0" w:rsidRDefault="00190BC8">
      <w:pPr>
        <w:pStyle w:val="FootnoteText"/>
        <w:spacing w:line="360" w:lineRule="auto"/>
        <w:rPr>
          <w:rFonts w:ascii="Times New Roman" w:hAnsi="Times New Roman" w:cs="Times New Roman"/>
          <w:sz w:val="24"/>
          <w:szCs w:val="24"/>
        </w:rPr>
      </w:pP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r>
          <w:rPr>
            <w:rFonts w:ascii="Cambria Math" w:hAnsi="Cambria Math" w:cs="Times New Roman"/>
            <w:sz w:val="24"/>
            <w:szCs w:val="24"/>
          </w:rPr>
          <m:t>=</m:t>
        </m:r>
        <m:f>
          <m:fPr>
            <m:ctrlPr>
              <w:rPr>
                <w:rFonts w:ascii="Cambria Math" w:hAnsi="Cambria Math" w:cs="Times New Roman"/>
                <w:i/>
                <w:iCs/>
                <w:sz w:val="24"/>
                <w:szCs w:val="24"/>
              </w:rPr>
            </m:ctrlPr>
          </m:fPr>
          <m:num>
            <m:f>
              <m:fPr>
                <m:ctrlPr>
                  <w:rPr>
                    <w:rFonts w:ascii="Cambria Math" w:hAnsi="Cambria Math" w:cs="Times New Roman"/>
                    <w:i/>
                    <w:iCs/>
                    <w:sz w:val="24"/>
                    <w:szCs w:val="24"/>
                  </w:rPr>
                </m:ctrlPr>
              </m:fPr>
              <m:num>
                <m:nary>
                  <m:naryPr>
                    <m:chr m:val="∑"/>
                    <m:limLoc m:val="undOvr"/>
                    <m:ctrlPr>
                      <w:rPr>
                        <w:rFonts w:ascii="Cambria Math" w:hAnsi="Cambria Math" w:cs="Times New Roman"/>
                        <w:i/>
                        <w:iCs/>
                        <w:sz w:val="24"/>
                        <w:szCs w:val="24"/>
                      </w:rPr>
                    </m:ctrlPr>
                  </m:naryPr>
                  <m:sub>
                    <m:r>
                      <w:rPr>
                        <w:rFonts w:ascii="Cambria Math" w:hAnsi="Cambria Math" w:cs="Times New Roman"/>
                        <w:sz w:val="24"/>
                        <w:szCs w:val="24"/>
                      </w:rPr>
                      <m:t>j=i+∆</m:t>
                    </m:r>
                  </m:sub>
                  <m:sup>
                    <m:r>
                      <w:rPr>
                        <w:rFonts w:ascii="Cambria Math" w:hAnsi="Cambria Math" w:cs="Times New Roman"/>
                        <w:sz w:val="24"/>
                        <w:szCs w:val="24"/>
                      </w:rPr>
                      <m:t>i+∆+n-1</m:t>
                    </m:r>
                  </m:sup>
                  <m:e>
                    <m:r>
                      <w:rPr>
                        <w:rFonts w:ascii="Cambria Math" w:hAnsi="Cambria Math" w:cs="Times New Roman"/>
                        <w:sz w:val="24"/>
                        <w:szCs w:val="24"/>
                      </w:rPr>
                      <m:t>I(j)</m:t>
                    </m:r>
                  </m:e>
                </m:nary>
              </m:num>
              <m:den>
                <m:r>
                  <w:rPr>
                    <w:rFonts w:ascii="Cambria Math" w:hAnsi="Cambria Math" w:cs="Times New Roman"/>
                    <w:sz w:val="24"/>
                    <w:szCs w:val="24"/>
                  </w:rPr>
                  <m:t>n</m:t>
                </m:r>
              </m:den>
            </m:f>
          </m:num>
          <m:den>
            <m:f>
              <m:fPr>
                <m:ctrlPr>
                  <w:rPr>
                    <w:rFonts w:ascii="Cambria Math" w:hAnsi="Cambria Math" w:cs="Times New Roman"/>
                    <w:i/>
                    <w:iCs/>
                    <w:sz w:val="24"/>
                    <w:szCs w:val="24"/>
                  </w:rPr>
                </m:ctrlPr>
              </m:fPr>
              <m:num>
                <m:nary>
                  <m:naryPr>
                    <m:chr m:val="∑"/>
                    <m:limLoc m:val="undOvr"/>
                    <m:ctrlPr>
                      <w:rPr>
                        <w:rFonts w:ascii="Cambria Math" w:hAnsi="Cambria Math" w:cs="Times New Roman"/>
                        <w:i/>
                        <w:iCs/>
                        <w:sz w:val="24"/>
                        <w:szCs w:val="24"/>
                      </w:rPr>
                    </m:ctrlPr>
                  </m:naryPr>
                  <m:sub>
                    <m:r>
                      <w:rPr>
                        <w:rFonts w:ascii="Cambria Math" w:hAnsi="Cambria Math" w:cs="Times New Roman"/>
                        <w:sz w:val="24"/>
                        <w:szCs w:val="24"/>
                      </w:rPr>
                      <m:t>j=i</m:t>
                    </m:r>
                  </m:sub>
                  <m:sup>
                    <m:r>
                      <w:rPr>
                        <w:rFonts w:ascii="Cambria Math" w:hAnsi="Cambria Math" w:cs="Times New Roman"/>
                        <w:sz w:val="24"/>
                        <w:szCs w:val="24"/>
                      </w:rPr>
                      <m:t>i-n-1</m:t>
                    </m:r>
                  </m:sup>
                  <m:e>
                    <m:r>
                      <w:rPr>
                        <w:rFonts w:ascii="Cambria Math" w:hAnsi="Cambria Math" w:cs="Times New Roman"/>
                        <w:sz w:val="24"/>
                        <w:szCs w:val="24"/>
                      </w:rPr>
                      <m:t>I(j)</m:t>
                    </m:r>
                  </m:e>
                </m:nary>
              </m:num>
              <m:den>
                <m:r>
                  <w:rPr>
                    <w:rFonts w:ascii="Cambria Math" w:hAnsi="Cambria Math" w:cs="Times New Roman"/>
                    <w:sz w:val="24"/>
                    <w:szCs w:val="24"/>
                  </w:rPr>
                  <m:t>n</m:t>
                </m:r>
              </m:den>
            </m:f>
            <m:r>
              <m:rPr>
                <m:sty m:val="p"/>
              </m:rPr>
              <w:rPr>
                <w:rFonts w:ascii="Cambria Math" w:hAnsi="Cambria Math" w:cs="Times New Roman"/>
                <w:sz w:val="24"/>
                <w:szCs w:val="24"/>
              </w:rPr>
              <m:t xml:space="preserve"> </m:t>
            </m:r>
          </m:den>
        </m:f>
        <m:r>
          <w:rPr>
            <w:rFonts w:ascii="Cambria Math" w:hAnsi="Cambria Math" w:cs="Times New Roman"/>
            <w:sz w:val="24"/>
            <w:szCs w:val="24"/>
          </w:rPr>
          <m:t>,n=7</m:t>
        </m:r>
      </m:oMath>
      <w:r w:rsidR="002D7DE5" w:rsidRPr="009872B0">
        <w:rPr>
          <w:rFonts w:ascii="Times New Roman" w:hAnsi="Times New Roman" w:cs="Times New Roman"/>
          <w:sz w:val="24"/>
          <w:szCs w:val="24"/>
        </w:rPr>
        <w:t xml:space="preserve">                                                                                                                (2)</w:t>
      </w:r>
    </w:p>
    <w:p w:rsidR="00896D6C" w:rsidRPr="009872B0" w:rsidRDefault="002D7DE5">
      <w:pPr>
        <w:pStyle w:val="FootnoteText"/>
        <w:spacing w:line="360" w:lineRule="auto"/>
        <w:jc w:val="both"/>
        <w:rPr>
          <w:rFonts w:ascii="Times New Roman" w:hAnsi="Times New Roman" w:cs="Times New Roman"/>
          <w:sz w:val="24"/>
          <w:szCs w:val="24"/>
        </w:rPr>
      </w:pPr>
      <w:r w:rsidRPr="009872B0">
        <w:rPr>
          <w:rFonts w:ascii="Times New Roman" w:hAnsi="Times New Roman" w:cs="Times New Roman"/>
          <w:iCs/>
          <w:sz w:val="24"/>
          <w:szCs w:val="24"/>
        </w:rPr>
        <w:t xml:space="preserve">Note that </w:t>
      </w:r>
      <m:oMath>
        <m:sSub>
          <m:sSubPr>
            <m:ctrlPr>
              <w:rPr>
                <w:rFonts w:ascii="Cambria Math" w:hAnsi="Cambria Math" w:cs="Times New Roman"/>
                <w:i/>
                <w:iCs/>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hAnsi="Times New Roman" w:cs="Times New Roman"/>
          <w:sz w:val="24"/>
          <w:szCs w:val="24"/>
        </w:rPr>
        <w:t xml:space="preserve"> is not supposed to represent a kind of objective causative criterion in our study. However, this criterion is used to be a learnable unique output by constructing a predictive deep neural network, which is capable to deliver 30-days forward prognosis regarding the most probable expected reproduction numbers after being consulted about a set of input features.</w:t>
      </w:r>
      <w:r w:rsidRPr="009872B0">
        <w:rPr>
          <w:rStyle w:val="FootnoteReference"/>
          <w:rFonts w:ascii="Times New Roman" w:hAnsi="Times New Roman" w:cs="Times New Roman"/>
          <w:sz w:val="24"/>
          <w:szCs w:val="24"/>
        </w:rPr>
        <w:footnoteReference w:id="2"/>
      </w:r>
      <w:r w:rsidRPr="009872B0">
        <w:rPr>
          <w:rFonts w:ascii="Times New Roman" w:hAnsi="Times New Roman" w:cs="Times New Roman"/>
          <w:sz w:val="24"/>
          <w:szCs w:val="24"/>
        </w:rPr>
        <w:t xml:space="preserve"> While </w:t>
      </w:r>
      <m:oMath>
        <m:sSub>
          <m:sSubPr>
            <m:ctrlPr>
              <w:rPr>
                <w:rFonts w:ascii="Cambria Math" w:hAnsi="Cambria Math" w:cs="Times New Roman"/>
                <w:i/>
                <w:iCs/>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hAnsi="Times New Roman" w:cs="Times New Roman"/>
          <w:sz w:val="24"/>
          <w:szCs w:val="24"/>
        </w:rPr>
        <w:t xml:space="preserve"> being an average monthly based criteria for the spread of the virus and </w:t>
      </w:r>
      <w:r w:rsidRPr="009872B0">
        <w:rPr>
          <w:rFonts w:ascii="Times New Roman" w:hAnsi="Times New Roman" w:cs="Times New Roman"/>
          <w:i/>
          <w:iCs/>
          <w:sz w:val="24"/>
          <w:szCs w:val="24"/>
        </w:rPr>
        <w:t>analogous</w:t>
      </w:r>
      <w:r w:rsidRPr="009872B0">
        <w:rPr>
          <w:rFonts w:ascii="Times New Roman" w:hAnsi="Times New Roman" w:cs="Times New Roman"/>
          <w:sz w:val="24"/>
          <w:szCs w:val="24"/>
        </w:rPr>
        <w:t xml:space="preserve"> to the conventional </w:t>
      </w:r>
      <w:r w:rsidRPr="009872B0">
        <w:rPr>
          <w:rFonts w:ascii="Times New Roman" w:hAnsi="Times New Roman" w:cs="Times New Roman"/>
          <w:sz w:val="24"/>
          <w:szCs w:val="24"/>
        </w:rPr>
        <w:lastRenderedPageBreak/>
        <w:t xml:space="preserve">concept of the reproduction rate, We name </w:t>
      </w:r>
      <m:oMath>
        <m:sSub>
          <m:sSubPr>
            <m:ctrlPr>
              <w:rPr>
                <w:rFonts w:ascii="Cambria Math" w:hAnsi="Cambria Math" w:cs="Times New Roman"/>
                <w:i/>
                <w:iCs/>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hAnsi="Times New Roman" w:cs="Times New Roman"/>
          <w:iCs/>
          <w:sz w:val="24"/>
          <w:szCs w:val="24"/>
        </w:rPr>
        <w:t xml:space="preserve"> the </w:t>
      </w:r>
      <w:r w:rsidRPr="009872B0">
        <w:rPr>
          <w:rFonts w:ascii="Times New Roman" w:hAnsi="Times New Roman" w:cs="Times New Roman"/>
          <w:i/>
          <w:sz w:val="24"/>
          <w:szCs w:val="24"/>
        </w:rPr>
        <w:t>reproduction rate</w:t>
      </w:r>
      <w:r w:rsidRPr="009872B0">
        <w:rPr>
          <w:rFonts w:ascii="Times New Roman" w:hAnsi="Times New Roman" w:cs="Times New Roman"/>
          <w:iCs/>
          <w:sz w:val="24"/>
          <w:szCs w:val="24"/>
        </w:rPr>
        <w:t xml:space="preserve"> of the pandemic through our study.</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3.2 Data</w:t>
      </w:r>
    </w:p>
    <w:p w:rsidR="00896D6C" w:rsidRPr="009872B0" w:rsidRDefault="002D7DE5" w:rsidP="00E77971">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In this paper we utilize </w:t>
      </w:r>
      <w:r w:rsidR="00E77971">
        <w:rPr>
          <w:rFonts w:ascii="Times New Roman" w:hAnsi="Times New Roman" w:cs="Times New Roman"/>
          <w:sz w:val="24"/>
          <w:szCs w:val="24"/>
        </w:rPr>
        <w:t>4</w:t>
      </w:r>
      <w:r w:rsidRPr="009872B0">
        <w:rPr>
          <w:rFonts w:ascii="Times New Roman" w:hAnsi="Times New Roman" w:cs="Times New Roman"/>
          <w:sz w:val="24"/>
          <w:szCs w:val="24"/>
        </w:rPr>
        <w:t xml:space="preserve"> data</w:t>
      </w:r>
      <w:r w:rsidR="00E77971">
        <w:rPr>
          <w:rFonts w:ascii="Times New Roman" w:hAnsi="Times New Roman" w:cs="Times New Roman"/>
          <w:sz w:val="24"/>
          <w:szCs w:val="24"/>
        </w:rPr>
        <w:t xml:space="preserve"> source files (per country per day government measures NPIs, per country per day virus variant distributions, per country per day per dose new vaccinations and per country per day new reported infections)</w:t>
      </w:r>
      <w:r w:rsidRPr="009872B0">
        <w:rPr>
          <w:rFonts w:ascii="Times New Roman" w:hAnsi="Times New Roman" w:cs="Times New Roman"/>
          <w:sz w:val="24"/>
          <w:szCs w:val="24"/>
        </w:rPr>
        <w:t xml:space="preserve"> from the information provided by </w:t>
      </w:r>
      <w:hyperlink r:id="rId15" w:tooltip="https://www.ecdc.europa.eu/en" w:history="1">
        <w:r w:rsidRPr="009872B0">
          <w:rPr>
            <w:rStyle w:val="Hyperlink"/>
            <w:rFonts w:ascii="Times New Roman" w:hAnsi="Times New Roman" w:cs="Times New Roman"/>
            <w:color w:val="auto"/>
            <w:sz w:val="24"/>
            <w:szCs w:val="24"/>
          </w:rPr>
          <w:t>European Centre for Disease Prevention and Control</w:t>
        </w:r>
      </w:hyperlink>
      <w:r w:rsidRPr="009872B0">
        <w:rPr>
          <w:rStyle w:val="FootnoteReference"/>
          <w:rFonts w:ascii="Times New Roman" w:hAnsi="Times New Roman" w:cs="Times New Roman"/>
          <w:sz w:val="24"/>
          <w:szCs w:val="24"/>
          <w:u w:val="single"/>
        </w:rPr>
        <w:footnoteReference w:id="3"/>
      </w:r>
      <w:r w:rsidRPr="009872B0">
        <w:rPr>
          <w:rFonts w:ascii="Times New Roman" w:hAnsi="Times New Roman" w:cs="Times New Roman"/>
          <w:sz w:val="24"/>
          <w:szCs w:val="24"/>
        </w:rPr>
        <w:t>. We studied the countries within the time spans as it is presented in the table 2.</w:t>
      </w:r>
      <w:r w:rsidRPr="009872B0">
        <w:rPr>
          <w:rStyle w:val="FootnoteReference"/>
          <w:rFonts w:ascii="Times New Roman" w:hAnsi="Times New Roman" w:cs="Times New Roman"/>
          <w:sz w:val="24"/>
          <w:szCs w:val="24"/>
        </w:rPr>
        <w:footnoteReference w:id="4"/>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Country</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from</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until</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Luxembourg</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2020-03-09</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2022-06-29</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Hungary</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'2020-03-11</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2021-06-11</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Germany</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2020-02-14</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2022-06-10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Latvia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2020-03-12</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2022-05-14</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Spain</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2020-03-09</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2022-04-19</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Norway</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2022-02-12</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Romania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2020-03-16</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2022-03-08</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Liechtenstein</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2020-10-01</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2022-03-31</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Portugal</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2020-02-27</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2022-06-30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Belgium</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2022-05-22</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Bulgaria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2020-02-24</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2022-07-17</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France</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2020-02-29</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2022-07-31</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Italy</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2020-03-04</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2022-06-14</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Slovakia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2022-04-20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Ireland</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2020-01-27</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2022-03-15</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Denmark</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2020-03-11</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2022-04-27</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Iceland</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2020-07-23</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2021-12-03</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Cyprus</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2022-04-14</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Greece</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2020-02-27</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Netherlands</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2020-03-12</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2022-05-31</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Czech</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2022-05-05</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Lithuania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2020-02-24</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Austria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2022-05-15</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Poland</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2020-03-08</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2022-03-27</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Slovenia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2020-03-10</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2022-05-30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Estonia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2020-01-28</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2022-07-20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Malta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2020-03-13</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2022-07-24</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Croatia</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2020-03-03</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2022-04-30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Finland</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2020-03-12</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2022-06-30</w:t>
            </w:r>
          </w:p>
        </w:tc>
      </w:tr>
      <w:tr w:rsidR="009872B0" w:rsidRPr="009872B0">
        <w:trPr>
          <w:jc w:val="right"/>
        </w:trPr>
        <w:tc>
          <w:tcPr>
            <w:tcW w:w="3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Sweden</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2020-03-12</w:t>
            </w:r>
          </w:p>
        </w:tc>
        <w:tc>
          <w:tcPr>
            <w:tcW w:w="3117"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2022-03-31</w:t>
            </w:r>
          </w:p>
        </w:tc>
      </w:tr>
    </w:tbl>
    <w:p w:rsidR="00896D6C" w:rsidRPr="009872B0" w:rsidRDefault="002D7DE5">
      <w:pPr>
        <w:spacing w:line="360" w:lineRule="auto"/>
        <w:jc w:val="both"/>
        <w:rPr>
          <w:rFonts w:ascii="Times New Roman" w:hAnsi="Times New Roman" w:cs="Times New Roman"/>
          <w:sz w:val="20"/>
          <w:szCs w:val="20"/>
        </w:rPr>
      </w:pPr>
      <w:r w:rsidRPr="009872B0">
        <w:rPr>
          <w:rFonts w:ascii="Times New Roman" w:hAnsi="Times New Roman" w:cs="Times New Roman"/>
          <w:sz w:val="20"/>
          <w:szCs w:val="20"/>
        </w:rPr>
        <w:t>Table 2: data time spans by countries</w:t>
      </w:r>
    </w:p>
    <w:p w:rsidR="00896D6C" w:rsidRPr="009872B0" w:rsidRDefault="002D7DE5" w:rsidP="00452633">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The day-to-day based data of the accumulative vaccination doses, </w:t>
      </w:r>
      <w:r w:rsidR="001C148C">
        <w:rPr>
          <w:rFonts w:ascii="Times New Roman" w:hAnsi="Times New Roman" w:cs="Times New Roman"/>
          <w:sz w:val="24"/>
          <w:szCs w:val="24"/>
        </w:rPr>
        <w:t xml:space="preserve">distribution of the </w:t>
      </w:r>
      <w:r w:rsidRPr="009872B0">
        <w:rPr>
          <w:rFonts w:ascii="Times New Roman" w:hAnsi="Times New Roman" w:cs="Times New Roman"/>
          <w:sz w:val="24"/>
          <w:szCs w:val="24"/>
        </w:rPr>
        <w:t>type</w:t>
      </w:r>
      <w:r w:rsidR="001C148C">
        <w:rPr>
          <w:rFonts w:ascii="Times New Roman" w:hAnsi="Times New Roman" w:cs="Times New Roman"/>
          <w:sz w:val="24"/>
          <w:szCs w:val="24"/>
        </w:rPr>
        <w:t>s</w:t>
      </w:r>
      <w:r w:rsidRPr="009872B0">
        <w:rPr>
          <w:rFonts w:ascii="Times New Roman" w:hAnsi="Times New Roman" w:cs="Times New Roman"/>
          <w:sz w:val="24"/>
          <w:szCs w:val="24"/>
        </w:rPr>
        <w:t xml:space="preserve"> of virus variants</w:t>
      </w:r>
      <w:r w:rsidR="001C148C">
        <w:rPr>
          <w:rFonts w:ascii="Times New Roman" w:hAnsi="Times New Roman" w:cs="Times New Roman"/>
          <w:sz w:val="24"/>
          <w:szCs w:val="24"/>
        </w:rPr>
        <w:t xml:space="preserve"> per day</w:t>
      </w:r>
      <w:r w:rsidR="007B1747">
        <w:rPr>
          <w:rFonts w:ascii="Times New Roman" w:hAnsi="Times New Roman" w:cs="Times New Roman"/>
          <w:sz w:val="24"/>
          <w:szCs w:val="24"/>
        </w:rPr>
        <w:t xml:space="preserve"> in each country</w:t>
      </w:r>
      <w:r w:rsidRPr="009872B0">
        <w:rPr>
          <w:rFonts w:ascii="Times New Roman" w:hAnsi="Times New Roman" w:cs="Times New Roman"/>
          <w:sz w:val="24"/>
          <w:szCs w:val="24"/>
        </w:rPr>
        <w:t xml:space="preserve">, implemented </w:t>
      </w:r>
      <w:r w:rsidR="001C148C">
        <w:rPr>
          <w:rFonts w:ascii="Times New Roman" w:hAnsi="Times New Roman" w:cs="Times New Roman"/>
          <w:sz w:val="24"/>
          <w:szCs w:val="24"/>
        </w:rPr>
        <w:t xml:space="preserve">each </w:t>
      </w:r>
      <w:r w:rsidRPr="009872B0">
        <w:rPr>
          <w:rFonts w:ascii="Times New Roman" w:hAnsi="Times New Roman" w:cs="Times New Roman"/>
          <w:sz w:val="24"/>
          <w:szCs w:val="24"/>
        </w:rPr>
        <w:t>European</w:t>
      </w:r>
      <w:r w:rsidR="001C148C">
        <w:rPr>
          <w:rFonts w:ascii="Times New Roman" w:hAnsi="Times New Roman" w:cs="Times New Roman"/>
          <w:sz w:val="24"/>
          <w:szCs w:val="24"/>
        </w:rPr>
        <w:t xml:space="preserve"> country’s</w:t>
      </w:r>
      <w:r w:rsidRPr="009872B0">
        <w:rPr>
          <w:rFonts w:ascii="Times New Roman" w:hAnsi="Times New Roman" w:cs="Times New Roman"/>
          <w:sz w:val="24"/>
          <w:szCs w:val="24"/>
        </w:rPr>
        <w:t xml:space="preserve"> government measures </w:t>
      </w:r>
      <w:r w:rsidRPr="009872B0">
        <w:rPr>
          <w:rFonts w:ascii="Times New Roman" w:hAnsi="Times New Roman" w:cs="Times New Roman"/>
          <w:sz w:val="24"/>
          <w:szCs w:val="24"/>
        </w:rPr>
        <w:lastRenderedPageBreak/>
        <w:t>NPIs</w:t>
      </w:r>
      <w:r w:rsidR="001C148C">
        <w:rPr>
          <w:rFonts w:ascii="Times New Roman" w:hAnsi="Times New Roman" w:cs="Times New Roman"/>
          <w:sz w:val="24"/>
          <w:szCs w:val="24"/>
        </w:rPr>
        <w:t xml:space="preserve"> per day</w:t>
      </w:r>
      <w:r w:rsidRPr="009872B0">
        <w:rPr>
          <w:rFonts w:ascii="Times New Roman" w:hAnsi="Times New Roman" w:cs="Times New Roman"/>
          <w:sz w:val="24"/>
          <w:szCs w:val="24"/>
        </w:rPr>
        <w:t xml:space="preserve"> as well as the data regarding the number of reported new infections (per day)</w:t>
      </w:r>
      <w:r w:rsidRPr="009872B0">
        <w:rPr>
          <w:rStyle w:val="FootnoteReference"/>
          <w:rFonts w:ascii="Times New Roman" w:hAnsi="Times New Roman" w:cs="Times New Roman"/>
          <w:sz w:val="24"/>
          <w:szCs w:val="24"/>
        </w:rPr>
        <w:footnoteReference w:id="5"/>
      </w:r>
      <w:r w:rsidRPr="009872B0">
        <w:rPr>
          <w:rFonts w:ascii="Times New Roman" w:hAnsi="Times New Roman" w:cs="Times New Roman"/>
          <w:sz w:val="24"/>
          <w:szCs w:val="24"/>
        </w:rPr>
        <w:t xml:space="preserve"> in each of studied 30 countries are first extracted</w:t>
      </w:r>
      <w:r w:rsidR="00DB6F76">
        <w:rPr>
          <w:rFonts w:ascii="Times New Roman" w:hAnsi="Times New Roman" w:cs="Times New Roman"/>
          <w:sz w:val="24"/>
          <w:szCs w:val="24"/>
        </w:rPr>
        <w:t xml:space="preserve"> from </w:t>
      </w:r>
      <w:r w:rsidR="00DD445A">
        <w:rPr>
          <w:rFonts w:ascii="Times New Roman" w:hAnsi="Times New Roman" w:cs="Times New Roman"/>
          <w:sz w:val="24"/>
          <w:szCs w:val="24"/>
        </w:rPr>
        <w:t xml:space="preserve">the </w:t>
      </w:r>
      <w:r w:rsidR="00DB6F76">
        <w:rPr>
          <w:rFonts w:ascii="Times New Roman" w:hAnsi="Times New Roman" w:cs="Times New Roman"/>
          <w:sz w:val="24"/>
          <w:szCs w:val="24"/>
        </w:rPr>
        <w:t xml:space="preserve">4 </w:t>
      </w:r>
      <w:r w:rsidR="000E0BF0">
        <w:rPr>
          <w:rFonts w:ascii="Times New Roman" w:hAnsi="Times New Roman" w:cs="Times New Roman"/>
          <w:sz w:val="24"/>
          <w:szCs w:val="24"/>
        </w:rPr>
        <w:t xml:space="preserve">data </w:t>
      </w:r>
      <w:r w:rsidR="00E77971">
        <w:rPr>
          <w:rFonts w:ascii="Times New Roman" w:hAnsi="Times New Roman" w:cs="Times New Roman"/>
          <w:sz w:val="24"/>
          <w:szCs w:val="24"/>
        </w:rPr>
        <w:t>source</w:t>
      </w:r>
      <w:r w:rsidR="000E0BF0">
        <w:rPr>
          <w:rFonts w:ascii="Times New Roman" w:hAnsi="Times New Roman" w:cs="Times New Roman"/>
          <w:sz w:val="24"/>
          <w:szCs w:val="24"/>
        </w:rPr>
        <w:t xml:space="preserve"> </w:t>
      </w:r>
      <w:r w:rsidR="001205C6">
        <w:rPr>
          <w:rFonts w:ascii="Times New Roman" w:hAnsi="Times New Roman" w:cs="Times New Roman"/>
          <w:sz w:val="24"/>
          <w:szCs w:val="24"/>
        </w:rPr>
        <w:t xml:space="preserve">files. The data sets are </w:t>
      </w:r>
      <w:r w:rsidRPr="009872B0">
        <w:rPr>
          <w:rFonts w:ascii="Times New Roman" w:hAnsi="Times New Roman" w:cs="Times New Roman"/>
          <w:sz w:val="24"/>
          <w:szCs w:val="24"/>
        </w:rPr>
        <w:t>merged</w:t>
      </w:r>
      <w:r w:rsidR="00DB6F76">
        <w:rPr>
          <w:rFonts w:ascii="Times New Roman" w:hAnsi="Times New Roman" w:cs="Times New Roman"/>
          <w:sz w:val="24"/>
          <w:szCs w:val="24"/>
        </w:rPr>
        <w:t xml:space="preserve"> then</w:t>
      </w:r>
      <w:r w:rsidRPr="009872B0">
        <w:rPr>
          <w:rFonts w:ascii="Times New Roman" w:hAnsi="Times New Roman" w:cs="Times New Roman"/>
          <w:sz w:val="24"/>
          <w:szCs w:val="24"/>
        </w:rPr>
        <w:t xml:space="preserve"> into a unique </w:t>
      </w:r>
      <w:r w:rsidR="00DD445A">
        <w:rPr>
          <w:rFonts w:ascii="Times New Roman" w:hAnsi="Times New Roman" w:cs="Times New Roman"/>
          <w:sz w:val="24"/>
          <w:szCs w:val="24"/>
        </w:rPr>
        <w:t>pandas</w:t>
      </w:r>
      <w:r w:rsidRPr="009872B0">
        <w:rPr>
          <w:rFonts w:ascii="Times New Roman" w:hAnsi="Times New Roman" w:cs="Times New Roman"/>
          <w:sz w:val="24"/>
          <w:szCs w:val="24"/>
        </w:rPr>
        <w:t xml:space="preserve"> table named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The code for constructing the data table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through merging 4 primary data sets as well as relevant data files have been appended to the supple</w:t>
      </w:r>
      <w:r w:rsidR="00E77971">
        <w:rPr>
          <w:rFonts w:ascii="Times New Roman" w:hAnsi="Times New Roman" w:cs="Times New Roman"/>
          <w:sz w:val="24"/>
          <w:szCs w:val="24"/>
        </w:rPr>
        <w:t>mentary material of this paper.</w:t>
      </w:r>
    </w:p>
    <w:p w:rsidR="00896D6C" w:rsidRPr="009872B0" w:rsidRDefault="002D7DE5" w:rsidP="00CC795B">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In order to let the program work with the </w:t>
      </w:r>
      <w:r w:rsidR="000E0BF0">
        <w:rPr>
          <w:rFonts w:ascii="Times New Roman" w:hAnsi="Times New Roman" w:cs="Times New Roman"/>
          <w:sz w:val="24"/>
          <w:szCs w:val="24"/>
        </w:rPr>
        <w:t>binary</w:t>
      </w:r>
      <w:r w:rsidRPr="009872B0">
        <w:rPr>
          <w:rFonts w:ascii="Times New Roman" w:hAnsi="Times New Roman" w:cs="Times New Roman"/>
          <w:sz w:val="24"/>
          <w:szCs w:val="24"/>
        </w:rPr>
        <w:t xml:space="preserve"> data within the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each of government policies NPIs is set equal to 1 when it is implemented within a day in a country and is set to be zero when not implemented. The countries (30 categories) and months (12 categories) are encoded to distinct sets of encoded </w:t>
      </w:r>
      <w:r w:rsidRPr="009872B0">
        <w:rPr>
          <w:rFonts w:ascii="Times New Roman" w:hAnsi="Times New Roman" w:cs="Times New Roman"/>
          <w:i/>
          <w:iCs/>
          <w:sz w:val="24"/>
          <w:szCs w:val="24"/>
        </w:rPr>
        <w:t>binary</w:t>
      </w:r>
      <w:r w:rsidRPr="009872B0">
        <w:rPr>
          <w:rFonts w:ascii="Times New Roman" w:hAnsi="Times New Roman" w:cs="Times New Roman"/>
          <w:sz w:val="24"/>
          <w:szCs w:val="24"/>
        </w:rPr>
        <w:t xml:space="preserve"> formats. The vaccination data is </w:t>
      </w:r>
      <w:r w:rsidR="00CC795B">
        <w:rPr>
          <w:rFonts w:ascii="Times New Roman" w:hAnsi="Times New Roman" w:cs="Times New Roman"/>
          <w:sz w:val="24"/>
          <w:szCs w:val="24"/>
        </w:rPr>
        <w:t>elaborated through</w:t>
      </w:r>
      <w:r w:rsidRPr="009872B0">
        <w:rPr>
          <w:rFonts w:ascii="Times New Roman" w:hAnsi="Times New Roman" w:cs="Times New Roman"/>
          <w:sz w:val="24"/>
          <w:szCs w:val="24"/>
        </w:rPr>
        <w:t xml:space="preserve"> computing the accumulated percentage numbers of each of the first 5 vaccine doses received by the population of each corresponded country</w:t>
      </w:r>
      <w:r w:rsidR="00CC795B">
        <w:rPr>
          <w:rFonts w:ascii="Times New Roman" w:hAnsi="Times New Roman" w:cs="Times New Roman"/>
          <w:sz w:val="24"/>
          <w:szCs w:val="24"/>
        </w:rPr>
        <w:t xml:space="preserve"> in each day</w:t>
      </w:r>
      <w:r w:rsidRPr="009872B0">
        <w:rPr>
          <w:rFonts w:ascii="Times New Roman" w:hAnsi="Times New Roman" w:cs="Times New Roman"/>
          <w:sz w:val="24"/>
          <w:szCs w:val="24"/>
        </w:rPr>
        <w:t>. Each virus variant is presented within a day and a country through the percentage it is sequenced. Hence, the sum of percentage values of all virus variants in a country within each day is equal to 1.</w:t>
      </w:r>
      <w:r w:rsidRPr="009872B0">
        <w:rPr>
          <w:rStyle w:val="FootnoteReference"/>
          <w:rFonts w:ascii="Times New Roman" w:hAnsi="Times New Roman" w:cs="Times New Roman"/>
          <w:sz w:val="24"/>
          <w:szCs w:val="24"/>
        </w:rPr>
        <w:footnoteReference w:id="6"/>
      </w:r>
      <w:r w:rsidRPr="009872B0">
        <w:rPr>
          <w:rFonts w:ascii="Times New Roman" w:hAnsi="Times New Roman" w:cs="Times New Roman"/>
          <w:sz w:val="24"/>
          <w:szCs w:val="24"/>
        </w:rPr>
        <w:t xml:space="preserve"> </w:t>
      </w:r>
    </w:p>
    <w:p w:rsidR="00896D6C" w:rsidRPr="009872B0" w:rsidRDefault="002D7DE5" w:rsidP="000E3C90">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Therefore, the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table represents per day information for each of 30 European countries demonstrating the set of each </w:t>
      </w:r>
      <w:r w:rsidR="001B31D8" w:rsidRPr="009872B0">
        <w:rPr>
          <w:rFonts w:ascii="Times New Roman" w:hAnsi="Times New Roman" w:cs="Times New Roman"/>
          <w:sz w:val="24"/>
          <w:szCs w:val="24"/>
        </w:rPr>
        <w:t>country</w:t>
      </w:r>
      <w:r w:rsidR="001B31D8">
        <w:rPr>
          <w:rFonts w:ascii="Times New Roman" w:hAnsi="Times New Roman" w:cs="Times New Roman"/>
          <w:sz w:val="24"/>
          <w:szCs w:val="24"/>
        </w:rPr>
        <w:t>’s</w:t>
      </w:r>
      <w:r w:rsidRPr="009872B0">
        <w:rPr>
          <w:rFonts w:ascii="Times New Roman" w:hAnsi="Times New Roman" w:cs="Times New Roman"/>
          <w:sz w:val="24"/>
          <w:szCs w:val="24"/>
        </w:rPr>
        <w:t xml:space="preserve"> implemented</w:t>
      </w:r>
      <w:r w:rsidR="00D45660">
        <w:rPr>
          <w:rFonts w:ascii="Times New Roman" w:hAnsi="Times New Roman" w:cs="Times New Roman"/>
          <w:sz w:val="24"/>
          <w:szCs w:val="24"/>
        </w:rPr>
        <w:t xml:space="preserve"> per day</w:t>
      </w:r>
      <w:r w:rsidRPr="009872B0">
        <w:rPr>
          <w:rFonts w:ascii="Times New Roman" w:hAnsi="Times New Roman" w:cs="Times New Roman"/>
          <w:sz w:val="24"/>
          <w:szCs w:val="24"/>
        </w:rPr>
        <w:t xml:space="preserve"> NPIs, total percentage of population received each of the first 5 vaccine doses, the reported percentage of each of virus variants per day and the number of new positive cases in that day in the corresponded country.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file is appended to the supplementary material of this paper. After constructing that data table, the </w:t>
      </w:r>
      <w:proofErr w:type="spellStart"/>
      <w:r w:rsidRPr="009872B0">
        <w:rPr>
          <w:rFonts w:ascii="Times New Roman" w:hAnsi="Times New Roman" w:cs="Times New Roman"/>
          <w:i/>
          <w:iCs/>
          <w:sz w:val="24"/>
          <w:szCs w:val="24"/>
        </w:rPr>
        <w:t>data_</w:t>
      </w:r>
      <w:r w:rsidR="00D45660" w:rsidRPr="009872B0">
        <w:rPr>
          <w:rFonts w:ascii="Times New Roman" w:hAnsi="Times New Roman" w:cs="Times New Roman"/>
          <w:i/>
          <w:iCs/>
          <w:sz w:val="24"/>
          <w:szCs w:val="24"/>
        </w:rPr>
        <w:t>encoded</w:t>
      </w:r>
      <w:proofErr w:type="spellEnd"/>
      <w:r w:rsidR="00D45660" w:rsidRPr="009872B0">
        <w:rPr>
          <w:rFonts w:ascii="Times New Roman" w:hAnsi="Times New Roman" w:cs="Times New Roman"/>
          <w:sz w:val="24"/>
          <w:szCs w:val="24"/>
        </w:rPr>
        <w:t xml:space="preserve"> </w:t>
      </w:r>
      <w:r w:rsidR="00D45660">
        <w:rPr>
          <w:rFonts w:ascii="Times New Roman" w:hAnsi="Times New Roman" w:cs="Times New Roman"/>
          <w:sz w:val="24"/>
          <w:szCs w:val="24"/>
        </w:rPr>
        <w:t xml:space="preserve">is transformed </w:t>
      </w:r>
      <w:r w:rsidRPr="009872B0">
        <w:rPr>
          <w:rFonts w:ascii="Times New Roman" w:hAnsi="Times New Roman" w:cs="Times New Roman"/>
          <w:sz w:val="24"/>
          <w:szCs w:val="24"/>
        </w:rPr>
        <w:t xml:space="preserve">to a new </w:t>
      </w:r>
      <w:r w:rsidRPr="00F75B03">
        <w:rPr>
          <w:rFonts w:ascii="Times New Roman" w:hAnsi="Times New Roman" w:cs="Times New Roman"/>
          <w:i/>
          <w:iCs/>
          <w:sz w:val="24"/>
          <w:szCs w:val="24"/>
        </w:rPr>
        <w:t>monthly</w:t>
      </w:r>
      <w:r w:rsidRPr="009872B0">
        <w:rPr>
          <w:rFonts w:ascii="Times New Roman" w:hAnsi="Times New Roman" w:cs="Times New Roman"/>
          <w:sz w:val="24"/>
          <w:szCs w:val="24"/>
        </w:rPr>
        <w:t xml:space="preserve"> shaped data table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sz w:val="24"/>
          <w:szCs w:val="24"/>
        </w:rPr>
        <w:t>)</w:t>
      </w:r>
      <w:r w:rsidR="00D45660">
        <w:rPr>
          <w:rFonts w:ascii="Times New Roman" w:hAnsi="Times New Roman" w:cs="Times New Roman"/>
          <w:sz w:val="24"/>
          <w:szCs w:val="24"/>
        </w:rPr>
        <w:t>. Thereby</w:t>
      </w:r>
      <w:r w:rsidRPr="009872B0">
        <w:rPr>
          <w:rFonts w:ascii="Times New Roman" w:hAnsi="Times New Roman" w:cs="Times New Roman"/>
          <w:sz w:val="24"/>
          <w:szCs w:val="24"/>
        </w:rPr>
        <w:t xml:space="preserve"> </w:t>
      </w:r>
      <w:r w:rsidR="00D45660">
        <w:rPr>
          <w:rFonts w:ascii="Times New Roman" w:hAnsi="Times New Roman" w:cs="Times New Roman"/>
          <w:sz w:val="24"/>
          <w:szCs w:val="24"/>
        </w:rPr>
        <w:t>we looked</w:t>
      </w:r>
      <w:r w:rsidRPr="009872B0">
        <w:rPr>
          <w:rFonts w:ascii="Times New Roman" w:hAnsi="Times New Roman" w:cs="Times New Roman"/>
          <w:sz w:val="24"/>
          <w:szCs w:val="24"/>
        </w:rPr>
        <w:t xml:space="preserve"> at </w:t>
      </w:r>
      <w:r w:rsidR="00D45660">
        <w:rPr>
          <w:rFonts w:ascii="Times New Roman" w:hAnsi="Times New Roman" w:cs="Times New Roman"/>
          <w:sz w:val="24"/>
          <w:szCs w:val="24"/>
        </w:rPr>
        <w:t xml:space="preserve">the </w:t>
      </w:r>
      <w:r w:rsidR="00D45660" w:rsidRPr="009872B0">
        <w:rPr>
          <w:rFonts w:ascii="Times New Roman" w:hAnsi="Times New Roman" w:cs="Times New Roman"/>
          <w:sz w:val="24"/>
          <w:szCs w:val="24"/>
        </w:rPr>
        <w:t xml:space="preserve">each row </w:t>
      </w:r>
      <w:proofErr w:type="spellStart"/>
      <w:r w:rsidR="00D45660" w:rsidRPr="009872B0">
        <w:rPr>
          <w:rFonts w:ascii="Times New Roman" w:hAnsi="Times New Roman" w:cs="Times New Roman"/>
          <w:i/>
          <w:iCs/>
          <w:sz w:val="24"/>
          <w:szCs w:val="24"/>
        </w:rPr>
        <w:t>i</w:t>
      </w:r>
      <w:proofErr w:type="spellEnd"/>
      <w:r w:rsidR="00D45660" w:rsidRPr="009872B0">
        <w:rPr>
          <w:rFonts w:ascii="Times New Roman" w:hAnsi="Times New Roman" w:cs="Times New Roman"/>
          <w:sz w:val="24"/>
          <w:szCs w:val="24"/>
        </w:rPr>
        <w:t xml:space="preserve"> within each countries’ belonging rows in the </w:t>
      </w:r>
      <w:proofErr w:type="spellStart"/>
      <w:r w:rsidR="00D45660" w:rsidRPr="009872B0">
        <w:rPr>
          <w:rFonts w:ascii="Times New Roman" w:hAnsi="Times New Roman" w:cs="Times New Roman"/>
          <w:i/>
          <w:iCs/>
          <w:sz w:val="24"/>
          <w:szCs w:val="24"/>
        </w:rPr>
        <w:t>data_encoded</w:t>
      </w:r>
      <w:proofErr w:type="spellEnd"/>
      <w:r w:rsidR="00D45660" w:rsidRPr="009872B0">
        <w:rPr>
          <w:rFonts w:ascii="Times New Roman" w:hAnsi="Times New Roman" w:cs="Times New Roman"/>
          <w:sz w:val="24"/>
          <w:szCs w:val="24"/>
        </w:rPr>
        <w:t xml:space="preserve"> beginning from the first row of  </w:t>
      </w:r>
      <w:r w:rsidR="00D45660">
        <w:rPr>
          <w:rFonts w:ascii="Times New Roman" w:hAnsi="Times New Roman" w:cs="Times New Roman"/>
          <w:sz w:val="24"/>
          <w:szCs w:val="24"/>
        </w:rPr>
        <w:t>that</w:t>
      </w:r>
      <w:r w:rsidR="00D45660" w:rsidRPr="009872B0">
        <w:rPr>
          <w:rFonts w:ascii="Times New Roman" w:hAnsi="Times New Roman" w:cs="Times New Roman"/>
          <w:sz w:val="24"/>
          <w:szCs w:val="24"/>
        </w:rPr>
        <w:t xml:space="preserve"> country until the latest row of that country</w:t>
      </w:r>
      <w:r w:rsidRPr="009872B0">
        <w:rPr>
          <w:rFonts w:ascii="Times New Roman" w:hAnsi="Times New Roman" w:cs="Times New Roman"/>
          <w:sz w:val="24"/>
          <w:szCs w:val="24"/>
        </w:rPr>
        <w:t>, comput</w:t>
      </w:r>
      <w:r w:rsidR="00D45660">
        <w:rPr>
          <w:rFonts w:ascii="Times New Roman" w:hAnsi="Times New Roman" w:cs="Times New Roman"/>
          <w:sz w:val="24"/>
          <w:szCs w:val="24"/>
        </w:rPr>
        <w:t>ed</w:t>
      </w:r>
      <w:r w:rsidRPr="009872B0">
        <w:rPr>
          <w:rFonts w:ascii="Times New Roman" w:hAnsi="Times New Roman" w:cs="Times New Roman"/>
          <w:sz w:val="24"/>
          <w:szCs w:val="24"/>
        </w:rPr>
        <w:t xml:space="preserve"> the average values of each explanatory variable within the </w:t>
      </w:r>
      <m:oMath>
        <m:r>
          <w:rPr>
            <w:rFonts w:ascii="Cambria Math" w:hAnsi="Cambria Math" w:cs="Times New Roman"/>
            <w:sz w:val="24"/>
            <w:szCs w:val="24"/>
          </w:rPr>
          <m:t>∆=</m:t>
        </m:r>
      </m:oMath>
      <w:r w:rsidRPr="009872B0">
        <w:rPr>
          <w:rFonts w:ascii="Times New Roman" w:hAnsi="Times New Roman" w:cs="Times New Roman"/>
          <w:sz w:val="24"/>
          <w:szCs w:val="24"/>
        </w:rPr>
        <w:t>30 days forward from that row</w:t>
      </w:r>
      <w:r w:rsidR="00D45660">
        <w:rPr>
          <w:rFonts w:ascii="Times New Roman" w:hAnsi="Times New Roman" w:cs="Times New Roman"/>
          <w:sz w:val="24"/>
          <w:szCs w:val="24"/>
        </w:rPr>
        <w:t xml:space="preserve"> of the country</w:t>
      </w:r>
      <w:r w:rsidRPr="009872B0">
        <w:rPr>
          <w:rFonts w:ascii="Times New Roman" w:hAnsi="Times New Roman" w:cs="Times New Roman"/>
          <w:sz w:val="24"/>
          <w:szCs w:val="24"/>
        </w:rPr>
        <w:t xml:space="preserve">, </w:t>
      </w:r>
      <w:r w:rsidR="00D45660">
        <w:rPr>
          <w:rFonts w:ascii="Times New Roman" w:hAnsi="Times New Roman" w:cs="Times New Roman"/>
          <w:sz w:val="24"/>
          <w:szCs w:val="24"/>
        </w:rPr>
        <w:t xml:space="preserve">and </w:t>
      </w:r>
      <w:r w:rsidRPr="009872B0">
        <w:rPr>
          <w:rFonts w:ascii="Times New Roman" w:hAnsi="Times New Roman" w:cs="Times New Roman"/>
          <w:sz w:val="24"/>
          <w:szCs w:val="24"/>
        </w:rPr>
        <w:t>append</w:t>
      </w:r>
      <w:r w:rsidR="00D45660">
        <w:rPr>
          <w:rFonts w:ascii="Times New Roman" w:hAnsi="Times New Roman" w:cs="Times New Roman"/>
          <w:sz w:val="24"/>
          <w:szCs w:val="24"/>
        </w:rPr>
        <w:t>ed</w:t>
      </w:r>
      <w:r w:rsidRPr="009872B0">
        <w:rPr>
          <w:rFonts w:ascii="Times New Roman" w:hAnsi="Times New Roman" w:cs="Times New Roman"/>
          <w:sz w:val="24"/>
          <w:szCs w:val="24"/>
        </w:rPr>
        <w:t xml:space="preserve"> the averaged </w:t>
      </w:r>
      <w:r w:rsidR="00F75B03">
        <w:rPr>
          <w:rFonts w:ascii="Times New Roman" w:hAnsi="Times New Roman" w:cs="Times New Roman"/>
          <w:sz w:val="24"/>
          <w:szCs w:val="24"/>
        </w:rPr>
        <w:t>values</w:t>
      </w:r>
      <w:r w:rsidR="00D45660">
        <w:rPr>
          <w:rFonts w:ascii="Times New Roman" w:hAnsi="Times New Roman" w:cs="Times New Roman"/>
          <w:sz w:val="24"/>
          <w:szCs w:val="24"/>
        </w:rPr>
        <w:t xml:space="preserve"> of each columns within the </w:t>
      </w:r>
      <m:oMath>
        <m:r>
          <w:rPr>
            <w:rFonts w:ascii="Cambria Math" w:hAnsi="Cambria Math" w:cs="Times New Roman"/>
            <w:sz w:val="24"/>
            <w:szCs w:val="24"/>
          </w:rPr>
          <m:t>∆=</m:t>
        </m:r>
      </m:oMath>
      <w:r w:rsidR="00D45660" w:rsidRPr="009872B0">
        <w:rPr>
          <w:rFonts w:ascii="Times New Roman" w:hAnsi="Times New Roman" w:cs="Times New Roman"/>
          <w:sz w:val="24"/>
          <w:szCs w:val="24"/>
        </w:rPr>
        <w:t>30 days forward</w:t>
      </w:r>
      <w:r w:rsidR="00D45660">
        <w:rPr>
          <w:rFonts w:ascii="Times New Roman" w:hAnsi="Times New Roman" w:cs="Times New Roman"/>
          <w:sz w:val="24"/>
          <w:szCs w:val="24"/>
        </w:rPr>
        <w:t xml:space="preserve"> as a new row </w:t>
      </w:r>
      <w:r w:rsidRPr="009872B0">
        <w:rPr>
          <w:rFonts w:ascii="Times New Roman" w:hAnsi="Times New Roman" w:cs="Times New Roman"/>
          <w:sz w:val="24"/>
          <w:szCs w:val="24"/>
        </w:rPr>
        <w:t>to the</w:t>
      </w:r>
      <w:r w:rsidR="00D45660">
        <w:rPr>
          <w:rFonts w:ascii="Times New Roman" w:hAnsi="Times New Roman" w:cs="Times New Roman"/>
          <w:sz w:val="24"/>
          <w:szCs w:val="24"/>
        </w:rPr>
        <w:t xml:space="preserve"> newly created</w:t>
      </w:r>
      <w:r w:rsidRPr="009872B0">
        <w:rPr>
          <w:rFonts w:ascii="Times New Roman" w:hAnsi="Times New Roman" w:cs="Times New Roman"/>
          <w:sz w:val="24"/>
          <w:szCs w:val="24"/>
        </w:rPr>
        <w:t xml:space="preserve">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sz w:val="24"/>
          <w:szCs w:val="24"/>
        </w:rPr>
        <w:t>.</w:t>
      </w:r>
      <w:r w:rsidR="00D45660">
        <w:rPr>
          <w:rFonts w:ascii="Times New Roman" w:hAnsi="Times New Roman" w:cs="Times New Roman"/>
          <w:sz w:val="24"/>
          <w:szCs w:val="24"/>
        </w:rPr>
        <w:t xml:space="preserve"> We then stride to the next row of </w:t>
      </w:r>
      <w:proofErr w:type="spellStart"/>
      <w:r w:rsidR="00D45660" w:rsidRPr="009872B0">
        <w:rPr>
          <w:rFonts w:ascii="Times New Roman" w:hAnsi="Times New Roman" w:cs="Times New Roman"/>
          <w:i/>
          <w:iCs/>
          <w:sz w:val="24"/>
          <w:szCs w:val="24"/>
        </w:rPr>
        <w:t>data_encoded</w:t>
      </w:r>
      <w:proofErr w:type="spellEnd"/>
      <w:r w:rsidR="00D45660">
        <w:rPr>
          <w:rFonts w:ascii="Times New Roman" w:hAnsi="Times New Roman" w:cs="Times New Roman"/>
          <w:sz w:val="24"/>
          <w:szCs w:val="24"/>
        </w:rPr>
        <w:t xml:space="preserve"> and do the same forward looking and computing procedure and append a </w:t>
      </w:r>
      <w:r w:rsidR="00D45660">
        <w:rPr>
          <w:rFonts w:ascii="Times New Roman" w:hAnsi="Times New Roman" w:cs="Times New Roman"/>
          <w:sz w:val="24"/>
          <w:szCs w:val="24"/>
        </w:rPr>
        <w:lastRenderedPageBreak/>
        <w:t xml:space="preserve">new row to the </w:t>
      </w:r>
      <w:proofErr w:type="spellStart"/>
      <w:r w:rsidR="00D45660" w:rsidRPr="009872B0">
        <w:rPr>
          <w:rFonts w:ascii="Times New Roman" w:hAnsi="Times New Roman" w:cs="Times New Roman"/>
          <w:i/>
          <w:iCs/>
          <w:sz w:val="24"/>
          <w:szCs w:val="24"/>
        </w:rPr>
        <w:t>month_data_encoded</w:t>
      </w:r>
      <w:proofErr w:type="spellEnd"/>
      <w:r w:rsidR="00D45660">
        <w:rPr>
          <w:rFonts w:ascii="Times New Roman" w:hAnsi="Times New Roman" w:cs="Times New Roman"/>
          <w:i/>
          <w:iCs/>
          <w:sz w:val="24"/>
          <w:szCs w:val="24"/>
        </w:rPr>
        <w:t>.</w:t>
      </w:r>
      <w:r w:rsidR="00D45660">
        <w:rPr>
          <w:rFonts w:ascii="Times New Roman" w:hAnsi="Times New Roman" w:cs="Times New Roman"/>
          <w:sz w:val="24"/>
          <w:szCs w:val="24"/>
        </w:rPr>
        <w:t xml:space="preserve"> </w:t>
      </w:r>
      <w:r w:rsidRPr="009872B0">
        <w:rPr>
          <w:rFonts w:ascii="Times New Roman" w:hAnsi="Times New Roman" w:cs="Times New Roman"/>
          <w:sz w:val="24"/>
          <w:szCs w:val="24"/>
        </w:rPr>
        <w:t xml:space="preserve"> </w:t>
      </w:r>
      <w:r w:rsidR="00F17E42">
        <w:rPr>
          <w:rFonts w:ascii="Times New Roman" w:hAnsi="Times New Roman" w:cs="Times New Roman"/>
          <w:sz w:val="24"/>
          <w:szCs w:val="24"/>
        </w:rPr>
        <w:t xml:space="preserve">Note that each column is corresponded to </w:t>
      </w:r>
      <w:r w:rsidR="00D45660">
        <w:rPr>
          <w:rFonts w:ascii="Times New Roman" w:hAnsi="Times New Roman" w:cs="Times New Roman"/>
          <w:sz w:val="24"/>
          <w:szCs w:val="24"/>
        </w:rPr>
        <w:t>a certain</w:t>
      </w:r>
      <w:r w:rsidR="00F17E42">
        <w:rPr>
          <w:rFonts w:ascii="Times New Roman" w:hAnsi="Times New Roman" w:cs="Times New Roman"/>
          <w:sz w:val="24"/>
          <w:szCs w:val="24"/>
        </w:rPr>
        <w:t xml:space="preserve"> explanatory variable</w:t>
      </w:r>
      <w:r w:rsidR="00D45660">
        <w:rPr>
          <w:rFonts w:ascii="Times New Roman" w:hAnsi="Times New Roman" w:cs="Times New Roman"/>
          <w:sz w:val="24"/>
          <w:szCs w:val="24"/>
        </w:rPr>
        <w:t xml:space="preserve"> in both data tables</w:t>
      </w:r>
      <w:r w:rsidR="00F17E42">
        <w:rPr>
          <w:rFonts w:ascii="Times New Roman" w:hAnsi="Times New Roman" w:cs="Times New Roman"/>
          <w:sz w:val="24"/>
          <w:szCs w:val="24"/>
        </w:rPr>
        <w:t>.</w:t>
      </w:r>
      <w:r w:rsidRPr="009872B0">
        <w:rPr>
          <w:rFonts w:ascii="Times New Roman" w:hAnsi="Times New Roman" w:cs="Times New Roman"/>
          <w:sz w:val="24"/>
          <w:szCs w:val="24"/>
        </w:rPr>
        <w:t xml:space="preserve"> Thereby, the (monthly based computed) value of activation or not activation of each NPI (which is 1 and 0 for each input variable in each day in </w:t>
      </w:r>
      <w:proofErr w:type="spellStart"/>
      <w:r w:rsidRPr="009872B0">
        <w:rPr>
          <w:rFonts w:ascii="Times New Roman" w:hAnsi="Times New Roman" w:cs="Times New Roman"/>
          <w:i/>
          <w:iCs/>
          <w:sz w:val="24"/>
          <w:szCs w:val="24"/>
        </w:rPr>
        <w:t>data_encoded</w:t>
      </w:r>
      <w:proofErr w:type="spellEnd"/>
      <w:r w:rsidRPr="009872B0">
        <w:rPr>
          <w:rFonts w:ascii="Times New Roman" w:hAnsi="Times New Roman" w:cs="Times New Roman"/>
          <w:sz w:val="24"/>
          <w:szCs w:val="24"/>
        </w:rPr>
        <w:t xml:space="preserve">) turns to be an average monthly value i.e. the sum of its activation days during the time span </w:t>
      </w:r>
      <m:oMath>
        <m:r>
          <w:rPr>
            <w:rFonts w:ascii="Cambria Math" w:hAnsi="Cambria Math" w:cs="Times New Roman"/>
            <w:sz w:val="24"/>
            <w:szCs w:val="24"/>
          </w:rPr>
          <m:t>∆</m:t>
        </m:r>
      </m:oMath>
      <w:r w:rsidRPr="009872B0">
        <w:rPr>
          <w:rFonts w:ascii="Times New Roman" w:hAnsi="Times New Roman" w:cs="Times New Roman"/>
          <w:sz w:val="24"/>
          <w:szCs w:val="24"/>
        </w:rPr>
        <w:t xml:space="preserve"> divided by the sum of all days i.e. </w:t>
      </w:r>
      <m:oMath>
        <m:r>
          <w:rPr>
            <w:rFonts w:ascii="Cambria Math" w:hAnsi="Cambria Math" w:cs="Times New Roman"/>
            <w:sz w:val="24"/>
            <w:szCs w:val="24"/>
          </w:rPr>
          <m:t>∆=</m:t>
        </m:r>
      </m:oMath>
      <w:r w:rsidRPr="009872B0">
        <w:rPr>
          <w:rFonts w:ascii="Times New Roman" w:hAnsi="Times New Roman" w:cs="Times New Roman"/>
          <w:sz w:val="24"/>
          <w:szCs w:val="24"/>
        </w:rPr>
        <w:t xml:space="preserve">30 days (which is a value between 0 and 1) within the new data table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sz w:val="24"/>
          <w:szCs w:val="24"/>
        </w:rPr>
        <w:t xml:space="preserve">. The same averaging procedure succeeds to come out with monthly average percentages of virus variants, vaccine doses and months. </w:t>
      </w:r>
      <w:r w:rsidR="00D45660">
        <w:rPr>
          <w:rFonts w:ascii="Times New Roman" w:hAnsi="Times New Roman" w:cs="Times New Roman"/>
          <w:sz w:val="24"/>
          <w:szCs w:val="24"/>
        </w:rPr>
        <w:t>I</w:t>
      </w:r>
      <w:r w:rsidRPr="009872B0">
        <w:rPr>
          <w:rFonts w:ascii="Times New Roman" w:hAnsi="Times New Roman" w:cs="Times New Roman"/>
          <w:sz w:val="24"/>
          <w:szCs w:val="24"/>
        </w:rPr>
        <w:t xml:space="preserve">f a certain virus variant has been active </w:t>
      </w:r>
      <w:r w:rsidR="002312EB">
        <w:rPr>
          <w:rFonts w:ascii="Times New Roman" w:hAnsi="Times New Roman" w:cs="Times New Roman"/>
          <w:sz w:val="24"/>
          <w:szCs w:val="24"/>
        </w:rPr>
        <w:t>at</w:t>
      </w:r>
      <w:r w:rsidR="00F17E42">
        <w:rPr>
          <w:rFonts w:ascii="Times New Roman" w:hAnsi="Times New Roman" w:cs="Times New Roman"/>
          <w:sz w:val="24"/>
          <w:szCs w:val="24"/>
        </w:rPr>
        <w:t xml:space="preserve"> </w:t>
      </w:r>
      <w:r w:rsidR="002312EB">
        <w:rPr>
          <w:rFonts w:ascii="Times New Roman" w:hAnsi="Times New Roman" w:cs="Times New Roman"/>
          <w:sz w:val="24"/>
          <w:szCs w:val="24"/>
        </w:rPr>
        <w:t>different</w:t>
      </w:r>
      <w:r w:rsidR="00F17E42">
        <w:rPr>
          <w:rFonts w:ascii="Times New Roman" w:hAnsi="Times New Roman" w:cs="Times New Roman"/>
          <w:sz w:val="24"/>
          <w:szCs w:val="24"/>
        </w:rPr>
        <w:t xml:space="preserve"> percentage level</w:t>
      </w:r>
      <w:r w:rsidR="002312EB">
        <w:rPr>
          <w:rFonts w:ascii="Times New Roman" w:hAnsi="Times New Roman" w:cs="Times New Roman"/>
          <w:sz w:val="24"/>
          <w:szCs w:val="24"/>
        </w:rPr>
        <w:t>s</w:t>
      </w:r>
      <w:r w:rsidR="00F17E42">
        <w:rPr>
          <w:rFonts w:ascii="Times New Roman" w:hAnsi="Times New Roman" w:cs="Times New Roman"/>
          <w:sz w:val="24"/>
          <w:szCs w:val="24"/>
        </w:rPr>
        <w:t xml:space="preserve"> at each day</w:t>
      </w:r>
      <w:r w:rsidRPr="009872B0">
        <w:rPr>
          <w:rFonts w:ascii="Times New Roman" w:hAnsi="Times New Roman" w:cs="Times New Roman"/>
          <w:sz w:val="24"/>
          <w:szCs w:val="24"/>
        </w:rPr>
        <w:t xml:space="preserve"> of the forward looking determined time span </w:t>
      </w:r>
      <m:oMath>
        <m:r>
          <w:rPr>
            <w:rFonts w:ascii="Cambria Math" w:hAnsi="Cambria Math" w:cs="Times New Roman"/>
            <w:sz w:val="24"/>
            <w:szCs w:val="24"/>
          </w:rPr>
          <m:t>∆</m:t>
        </m:r>
      </m:oMath>
      <w:r w:rsidRPr="009872B0">
        <w:rPr>
          <w:rFonts w:ascii="Times New Roman" w:hAnsi="Times New Roman" w:cs="Times New Roman"/>
          <w:sz w:val="24"/>
          <w:szCs w:val="24"/>
        </w:rPr>
        <w:t xml:space="preserve">, then its value in the data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i/>
          <w:iCs/>
          <w:sz w:val="24"/>
          <w:szCs w:val="24"/>
        </w:rPr>
        <w:t xml:space="preserve"> </w:t>
      </w:r>
      <w:r w:rsidR="00F17E42">
        <w:rPr>
          <w:rFonts w:ascii="Times New Roman" w:hAnsi="Times New Roman" w:cs="Times New Roman"/>
          <w:sz w:val="24"/>
          <w:szCs w:val="24"/>
        </w:rPr>
        <w:t>will reflect an averaged</w:t>
      </w:r>
      <w:r w:rsidRPr="009872B0">
        <w:rPr>
          <w:rFonts w:ascii="Times New Roman" w:hAnsi="Times New Roman" w:cs="Times New Roman"/>
          <w:sz w:val="24"/>
          <w:szCs w:val="24"/>
        </w:rPr>
        <w:t xml:space="preserve"> percentage</w:t>
      </w:r>
      <w:r w:rsidR="00F17E42">
        <w:rPr>
          <w:rFonts w:ascii="Times New Roman" w:hAnsi="Times New Roman" w:cs="Times New Roman"/>
          <w:sz w:val="24"/>
          <w:szCs w:val="24"/>
        </w:rPr>
        <w:t xml:space="preserve"> of its activation through </w:t>
      </w:r>
      <w:r w:rsidR="002312EB">
        <w:rPr>
          <w:rFonts w:ascii="Times New Roman" w:hAnsi="Times New Roman" w:cs="Times New Roman"/>
          <w:sz w:val="24"/>
          <w:szCs w:val="24"/>
        </w:rPr>
        <w:t>the looked</w:t>
      </w:r>
      <w:r w:rsidR="00F17E42">
        <w:rPr>
          <w:rFonts w:ascii="Times New Roman" w:hAnsi="Times New Roman" w:cs="Times New Roman"/>
          <w:sz w:val="24"/>
          <w:szCs w:val="24"/>
        </w:rPr>
        <w:t xml:space="preserve"> month</w:t>
      </w:r>
      <w:r w:rsidRPr="009872B0">
        <w:rPr>
          <w:rFonts w:ascii="Times New Roman" w:hAnsi="Times New Roman" w:cs="Times New Roman"/>
          <w:sz w:val="24"/>
          <w:szCs w:val="24"/>
        </w:rPr>
        <w:t xml:space="preserve">. Similarly the accumulated vaccination rates within the </w:t>
      </w:r>
      <m:oMath>
        <m:r>
          <w:rPr>
            <w:rFonts w:ascii="Cambria Math" w:hAnsi="Cambria Math" w:cs="Times New Roman"/>
            <w:sz w:val="24"/>
            <w:szCs w:val="24"/>
          </w:rPr>
          <m:t>∆=</m:t>
        </m:r>
      </m:oMath>
      <w:r w:rsidRPr="009872B0">
        <w:rPr>
          <w:rFonts w:ascii="Times New Roman" w:hAnsi="Times New Roman" w:cs="Times New Roman"/>
          <w:sz w:val="24"/>
          <w:szCs w:val="24"/>
        </w:rPr>
        <w:t xml:space="preserve">30 days ahead of a certain day in a country will be transformed to the average value of the accumulated vaccination rates within that </w:t>
      </w:r>
      <m:oMath>
        <m:r>
          <w:rPr>
            <w:rFonts w:ascii="Cambria Math" w:hAnsi="Cambria Math" w:cs="Times New Roman"/>
            <w:sz w:val="24"/>
            <w:szCs w:val="24"/>
          </w:rPr>
          <m:t>∆=</m:t>
        </m:r>
      </m:oMath>
      <w:r w:rsidRPr="009872B0">
        <w:rPr>
          <w:rFonts w:ascii="Times New Roman" w:hAnsi="Times New Roman" w:cs="Times New Roman"/>
          <w:sz w:val="24"/>
          <w:szCs w:val="24"/>
        </w:rPr>
        <w:t xml:space="preserve">30 days. </w:t>
      </w:r>
      <w:r w:rsidR="00F17E42">
        <w:rPr>
          <w:rFonts w:ascii="Times New Roman" w:hAnsi="Times New Roman" w:cs="Times New Roman"/>
          <w:sz w:val="24"/>
          <w:szCs w:val="24"/>
        </w:rPr>
        <w:t>The same logic applies for averaging the monthly based time values. I</w:t>
      </w:r>
      <w:r w:rsidR="002312EB">
        <w:rPr>
          <w:rFonts w:ascii="Times New Roman" w:hAnsi="Times New Roman" w:cs="Times New Roman"/>
          <w:sz w:val="24"/>
          <w:szCs w:val="24"/>
        </w:rPr>
        <w:t xml:space="preserve">f </w:t>
      </w:r>
      <w:r w:rsidRPr="009872B0">
        <w:rPr>
          <w:rFonts w:ascii="Times New Roman" w:hAnsi="Times New Roman" w:cs="Times New Roman"/>
          <w:sz w:val="24"/>
          <w:szCs w:val="24"/>
        </w:rPr>
        <w:t xml:space="preserve">the day </w:t>
      </w:r>
      <w:proofErr w:type="spellStart"/>
      <w:r w:rsidRPr="009872B0">
        <w:rPr>
          <w:rFonts w:ascii="Times New Roman" w:hAnsi="Times New Roman" w:cs="Times New Roman"/>
          <w:i/>
          <w:iCs/>
          <w:sz w:val="24"/>
          <w:szCs w:val="24"/>
        </w:rPr>
        <w:t>i</w:t>
      </w:r>
      <w:proofErr w:type="spellEnd"/>
      <w:r w:rsidRPr="009872B0">
        <w:rPr>
          <w:rFonts w:ascii="Times New Roman" w:hAnsi="Times New Roman" w:cs="Times New Roman"/>
          <w:sz w:val="24"/>
          <w:szCs w:val="24"/>
        </w:rPr>
        <w:t xml:space="preserve"> lays in </w:t>
      </w:r>
      <w:r w:rsidR="002312EB">
        <w:rPr>
          <w:rFonts w:ascii="Times New Roman" w:hAnsi="Times New Roman" w:cs="Times New Roman"/>
          <w:sz w:val="24"/>
          <w:szCs w:val="24"/>
        </w:rPr>
        <w:t>a certain day</w:t>
      </w:r>
      <w:r w:rsidRPr="009872B0">
        <w:rPr>
          <w:rFonts w:ascii="Times New Roman" w:hAnsi="Times New Roman" w:cs="Times New Roman"/>
          <w:sz w:val="24"/>
          <w:szCs w:val="24"/>
        </w:rPr>
        <w:t xml:space="preserve"> of </w:t>
      </w:r>
      <w:r w:rsidR="002312EB">
        <w:rPr>
          <w:rFonts w:ascii="Times New Roman" w:hAnsi="Times New Roman" w:cs="Times New Roman"/>
          <w:sz w:val="24"/>
          <w:szCs w:val="24"/>
        </w:rPr>
        <w:t xml:space="preserve">a certain month </w:t>
      </w:r>
      <w:r w:rsidR="002312EB" w:rsidRPr="002312EB">
        <w:rPr>
          <w:rFonts w:ascii="Times New Roman" w:hAnsi="Times New Roman" w:cs="Times New Roman"/>
          <w:i/>
          <w:iCs/>
          <w:sz w:val="24"/>
          <w:szCs w:val="24"/>
        </w:rPr>
        <w:t>m</w:t>
      </w:r>
      <w:r w:rsidRPr="009872B0">
        <w:rPr>
          <w:rFonts w:ascii="Times New Roman" w:hAnsi="Times New Roman" w:cs="Times New Roman"/>
          <w:sz w:val="24"/>
          <w:szCs w:val="24"/>
        </w:rPr>
        <w:t xml:space="preserve">, then the </w:t>
      </w:r>
      <w:r w:rsidR="002312EB">
        <w:rPr>
          <w:rFonts w:ascii="Times New Roman" w:hAnsi="Times New Roman" w:cs="Times New Roman"/>
          <w:sz w:val="24"/>
          <w:szCs w:val="24"/>
        </w:rPr>
        <w:t xml:space="preserve">forward looking </w:t>
      </w:r>
      <w:r w:rsidRPr="009872B0">
        <w:rPr>
          <w:rFonts w:ascii="Times New Roman" w:hAnsi="Times New Roman" w:cs="Times New Roman"/>
          <w:sz w:val="24"/>
          <w:szCs w:val="24"/>
        </w:rPr>
        <w:t xml:space="preserve">monthly based corresponded row to the column </w:t>
      </w:r>
      <w:r w:rsidRPr="009872B0">
        <w:rPr>
          <w:rFonts w:ascii="Times New Roman" w:hAnsi="Times New Roman" w:cs="Times New Roman"/>
          <w:i/>
          <w:iCs/>
          <w:sz w:val="24"/>
          <w:szCs w:val="24"/>
        </w:rPr>
        <w:t>month</w:t>
      </w:r>
      <w:r w:rsidRPr="009872B0">
        <w:rPr>
          <w:rFonts w:ascii="Times New Roman" w:hAnsi="Times New Roman" w:cs="Times New Roman"/>
          <w:sz w:val="24"/>
          <w:szCs w:val="24"/>
        </w:rPr>
        <w:t xml:space="preserve"> in </w:t>
      </w:r>
      <w:proofErr w:type="spellStart"/>
      <w:r w:rsidRPr="009872B0">
        <w:rPr>
          <w:rFonts w:ascii="Times New Roman" w:hAnsi="Times New Roman" w:cs="Times New Roman"/>
          <w:i/>
          <w:iCs/>
          <w:sz w:val="24"/>
          <w:szCs w:val="24"/>
        </w:rPr>
        <w:t>month_data_encoded</w:t>
      </w:r>
      <w:proofErr w:type="spellEnd"/>
      <w:r w:rsidR="002312EB">
        <w:rPr>
          <w:rFonts w:ascii="Times New Roman" w:hAnsi="Times New Roman" w:cs="Times New Roman"/>
          <w:sz w:val="24"/>
          <w:szCs w:val="24"/>
        </w:rPr>
        <w:t xml:space="preserve"> will proportionally (to the number of the days beginning from </w:t>
      </w:r>
      <w:proofErr w:type="spellStart"/>
      <w:r w:rsidR="002312EB" w:rsidRPr="002312EB">
        <w:rPr>
          <w:rFonts w:ascii="Times New Roman" w:hAnsi="Times New Roman" w:cs="Times New Roman"/>
          <w:i/>
          <w:iCs/>
          <w:sz w:val="24"/>
          <w:szCs w:val="24"/>
        </w:rPr>
        <w:t>i</w:t>
      </w:r>
      <w:proofErr w:type="spellEnd"/>
      <w:r w:rsidR="002312EB">
        <w:rPr>
          <w:rFonts w:ascii="Times New Roman" w:hAnsi="Times New Roman" w:cs="Times New Roman"/>
          <w:sz w:val="24"/>
          <w:szCs w:val="24"/>
        </w:rPr>
        <w:t xml:space="preserve"> remaining in </w:t>
      </w:r>
      <w:r w:rsidR="002312EB" w:rsidRPr="002312EB">
        <w:rPr>
          <w:rFonts w:ascii="Times New Roman" w:hAnsi="Times New Roman" w:cs="Times New Roman"/>
          <w:i/>
          <w:iCs/>
          <w:sz w:val="24"/>
          <w:szCs w:val="24"/>
        </w:rPr>
        <w:t>m</w:t>
      </w:r>
      <w:r w:rsidR="002312EB">
        <w:rPr>
          <w:rFonts w:ascii="Times New Roman" w:hAnsi="Times New Roman" w:cs="Times New Roman"/>
          <w:sz w:val="24"/>
          <w:szCs w:val="24"/>
        </w:rPr>
        <w:t xml:space="preserve">) reflect that month </w:t>
      </w:r>
      <w:r w:rsidR="002312EB" w:rsidRPr="002312EB">
        <w:rPr>
          <w:rFonts w:ascii="Times New Roman" w:hAnsi="Times New Roman" w:cs="Times New Roman"/>
          <w:i/>
          <w:iCs/>
          <w:sz w:val="24"/>
          <w:szCs w:val="24"/>
        </w:rPr>
        <w:t>m</w:t>
      </w:r>
      <w:r w:rsidR="002312EB">
        <w:rPr>
          <w:rFonts w:ascii="Times New Roman" w:hAnsi="Times New Roman" w:cs="Times New Roman"/>
          <w:sz w:val="24"/>
          <w:szCs w:val="24"/>
        </w:rPr>
        <w:t xml:space="preserve"> but also will proportionally (to the number of the days </w:t>
      </w:r>
      <w:r w:rsidR="002312EB" w:rsidRPr="002312EB">
        <w:rPr>
          <w:rFonts w:ascii="Times New Roman" w:hAnsi="Times New Roman" w:cs="Times New Roman"/>
          <w:sz w:val="24"/>
          <w:szCs w:val="24"/>
        </w:rPr>
        <w:t>remaining</w:t>
      </w:r>
      <w:r w:rsidR="00685604">
        <w:rPr>
          <w:rFonts w:ascii="Times New Roman" w:hAnsi="Times New Roman" w:cs="Times New Roman"/>
          <w:sz w:val="24"/>
          <w:szCs w:val="24"/>
        </w:rPr>
        <w:t xml:space="preserve"> in the next month</w:t>
      </w:r>
      <w:r w:rsidR="002312EB">
        <w:rPr>
          <w:rFonts w:ascii="Times New Roman" w:hAnsi="Times New Roman" w:cs="Times New Roman"/>
          <w:sz w:val="24"/>
          <w:szCs w:val="24"/>
        </w:rPr>
        <w:t xml:space="preserve">) </w:t>
      </w:r>
      <w:r w:rsidR="00685604">
        <w:rPr>
          <w:rFonts w:ascii="Times New Roman" w:hAnsi="Times New Roman" w:cs="Times New Roman"/>
          <w:sz w:val="24"/>
          <w:szCs w:val="24"/>
        </w:rPr>
        <w:t>reflect the next month</w:t>
      </w:r>
      <w:r w:rsidRPr="009872B0">
        <w:rPr>
          <w:rFonts w:ascii="Times New Roman" w:hAnsi="Times New Roman" w:cs="Times New Roman"/>
          <w:sz w:val="24"/>
          <w:szCs w:val="24"/>
        </w:rPr>
        <w:t>. Hence, the value of each element in the</w:t>
      </w:r>
      <w:r w:rsidR="000E3C90">
        <w:rPr>
          <w:rFonts w:ascii="Times New Roman" w:hAnsi="Times New Roman" w:cs="Times New Roman"/>
          <w:sz w:val="24"/>
          <w:szCs w:val="24"/>
        </w:rPr>
        <w:t xml:space="preserve"> data table</w:t>
      </w:r>
      <w:r w:rsidRPr="009872B0">
        <w:rPr>
          <w:rFonts w:ascii="Times New Roman" w:hAnsi="Times New Roman" w:cs="Times New Roman"/>
          <w:sz w:val="24"/>
          <w:szCs w:val="24"/>
        </w:rPr>
        <w:t xml:space="preserve">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sz w:val="24"/>
          <w:szCs w:val="24"/>
        </w:rPr>
        <w:t xml:space="preserve"> reflects the</w:t>
      </w:r>
      <w:r w:rsidR="00F17E42">
        <w:rPr>
          <w:rFonts w:ascii="Times New Roman" w:hAnsi="Times New Roman" w:cs="Times New Roman"/>
          <w:sz w:val="24"/>
          <w:szCs w:val="24"/>
        </w:rPr>
        <w:t xml:space="preserve"> average</w:t>
      </w:r>
      <w:r w:rsidRPr="009872B0">
        <w:rPr>
          <w:rFonts w:ascii="Times New Roman" w:hAnsi="Times New Roman" w:cs="Times New Roman"/>
          <w:sz w:val="24"/>
          <w:szCs w:val="24"/>
        </w:rPr>
        <w:t xml:space="preserve"> </w:t>
      </w:r>
      <w:r w:rsidRPr="00F17E42">
        <w:rPr>
          <w:rFonts w:ascii="Times New Roman" w:hAnsi="Times New Roman" w:cs="Times New Roman"/>
          <w:i/>
          <w:iCs/>
          <w:sz w:val="24"/>
          <w:szCs w:val="24"/>
        </w:rPr>
        <w:t>frequency</w:t>
      </w:r>
      <w:r w:rsidRPr="009872B0">
        <w:rPr>
          <w:rFonts w:ascii="Times New Roman" w:hAnsi="Times New Roman" w:cs="Times New Roman"/>
          <w:sz w:val="24"/>
          <w:szCs w:val="24"/>
        </w:rPr>
        <w:t xml:space="preserve"> of the corresponded explanatory variable within the corresponded one month forward looking time span</w:t>
      </w:r>
      <w:r w:rsidR="000E3C90">
        <w:rPr>
          <w:rFonts w:ascii="Times New Roman" w:hAnsi="Times New Roman" w:cs="Times New Roman"/>
          <w:sz w:val="24"/>
          <w:szCs w:val="24"/>
        </w:rPr>
        <w:t>s</w:t>
      </w:r>
      <w:r w:rsidR="000F2B24">
        <w:rPr>
          <w:rFonts w:ascii="Times New Roman" w:hAnsi="Times New Roman" w:cs="Times New Roman"/>
          <w:sz w:val="24"/>
          <w:szCs w:val="24"/>
        </w:rPr>
        <w:t xml:space="preserve">. Note that with the exception of reproduction rates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0F2B24">
        <w:rPr>
          <w:rFonts w:ascii="Times New Roman" w:hAnsi="Times New Roman" w:cs="Times New Roman"/>
          <w:iCs/>
          <w:sz w:val="24"/>
          <w:szCs w:val="24"/>
        </w:rPr>
        <w:t>s,</w:t>
      </w:r>
      <w:r w:rsidR="000F2B24">
        <w:rPr>
          <w:rFonts w:ascii="Times New Roman" w:hAnsi="Times New Roman" w:cs="Times New Roman"/>
          <w:sz w:val="24"/>
          <w:szCs w:val="24"/>
        </w:rPr>
        <w:t xml:space="preserve"> all values in </w:t>
      </w:r>
      <w:proofErr w:type="spellStart"/>
      <w:r w:rsidR="000F2B24" w:rsidRPr="009872B0">
        <w:rPr>
          <w:rFonts w:ascii="Times New Roman" w:hAnsi="Times New Roman" w:cs="Times New Roman"/>
          <w:i/>
          <w:iCs/>
          <w:sz w:val="24"/>
          <w:szCs w:val="24"/>
        </w:rPr>
        <w:t>month_data_encoded</w:t>
      </w:r>
      <w:proofErr w:type="spellEnd"/>
      <w:r w:rsidR="000F2B24">
        <w:rPr>
          <w:rFonts w:ascii="Times New Roman" w:hAnsi="Times New Roman" w:cs="Times New Roman"/>
          <w:sz w:val="24"/>
          <w:szCs w:val="24"/>
        </w:rPr>
        <w:t xml:space="preserve"> are between 0 and 1.</w:t>
      </w:r>
    </w:p>
    <w:p w:rsidR="00896D6C" w:rsidRPr="009872B0" w:rsidRDefault="002D7DE5" w:rsidP="00B671FA">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The corresponded </w:t>
      </w:r>
      <w:r w:rsidR="001D223B">
        <w:rPr>
          <w:rFonts w:ascii="Times New Roman" w:hAnsi="Times New Roman" w:cs="Times New Roman"/>
          <w:sz w:val="24"/>
          <w:szCs w:val="24"/>
        </w:rPr>
        <w:t xml:space="preserve">forward looking </w:t>
      </w:r>
      <w:r w:rsidRPr="009872B0">
        <w:rPr>
          <w:rFonts w:ascii="Times New Roman" w:hAnsi="Times New Roman" w:cs="Times New Roman"/>
          <w:sz w:val="24"/>
          <w:szCs w:val="24"/>
        </w:rPr>
        <w:t>monthly reproduction rate</w:t>
      </w:r>
      <w:r w:rsidR="001D223B">
        <w:rPr>
          <w:rFonts w:ascii="Times New Roman" w:hAnsi="Times New Roman" w:cs="Times New Roman"/>
          <w:sz w:val="24"/>
          <w:szCs w:val="24"/>
        </w:rPr>
        <w:t>s</w:t>
      </w:r>
      <w:r w:rsidRPr="009872B0">
        <w:rPr>
          <w:rFonts w:ascii="Times New Roman" w:hAnsi="Times New Roman" w:cs="Times New Roman"/>
          <w:sz w:val="24"/>
          <w:szCs w:val="24"/>
        </w:rPr>
        <w:t xml:space="preserve">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hAnsi="Times New Roman" w:cs="Times New Roman"/>
          <w:iCs/>
          <w:sz w:val="24"/>
          <w:szCs w:val="24"/>
        </w:rPr>
        <w:t xml:space="preserve"> </w:t>
      </w:r>
      <w:r w:rsidRPr="009872B0">
        <w:rPr>
          <w:rFonts w:ascii="Times New Roman" w:hAnsi="Times New Roman" w:cs="Times New Roman"/>
          <w:sz w:val="24"/>
          <w:szCs w:val="24"/>
        </w:rPr>
        <w:t xml:space="preserve">to each row in the </w:t>
      </w:r>
      <w:proofErr w:type="spellStart"/>
      <w:r w:rsidRPr="009872B0">
        <w:rPr>
          <w:rFonts w:ascii="Times New Roman" w:hAnsi="Times New Roman" w:cs="Times New Roman"/>
          <w:i/>
          <w:iCs/>
          <w:sz w:val="24"/>
          <w:szCs w:val="24"/>
        </w:rPr>
        <w:t>month_data_encoded</w:t>
      </w:r>
      <w:proofErr w:type="spellEnd"/>
      <w:r w:rsidR="001D223B">
        <w:rPr>
          <w:rFonts w:ascii="Times New Roman" w:hAnsi="Times New Roman" w:cs="Times New Roman"/>
          <w:sz w:val="24"/>
          <w:szCs w:val="24"/>
        </w:rPr>
        <w:t xml:space="preserve"> are</w:t>
      </w:r>
      <w:r w:rsidRPr="009872B0">
        <w:rPr>
          <w:rFonts w:ascii="Times New Roman" w:hAnsi="Times New Roman" w:cs="Times New Roman"/>
          <w:sz w:val="24"/>
          <w:szCs w:val="24"/>
        </w:rPr>
        <w:t xml:space="preserve"> then </w:t>
      </w:r>
      <w:r w:rsidR="00B671FA">
        <w:rPr>
          <w:rFonts w:ascii="Times New Roman" w:hAnsi="Times New Roman" w:cs="Times New Roman"/>
          <w:sz w:val="24"/>
          <w:szCs w:val="24"/>
        </w:rPr>
        <w:t>computed</w:t>
      </w:r>
      <w:r w:rsidRPr="009872B0">
        <w:rPr>
          <w:rFonts w:ascii="Times New Roman" w:hAnsi="Times New Roman" w:cs="Times New Roman"/>
          <w:sz w:val="24"/>
          <w:szCs w:val="24"/>
        </w:rPr>
        <w:t xml:space="preserve"> in line with equation (2) to each row. </w:t>
      </w:r>
      <w:proofErr w:type="spellStart"/>
      <w:r w:rsidRPr="009872B0">
        <w:rPr>
          <w:rFonts w:ascii="Times New Roman" w:hAnsi="Times New Roman" w:cs="Times New Roman"/>
          <w:i/>
          <w:iCs/>
          <w:sz w:val="24"/>
          <w:szCs w:val="24"/>
        </w:rPr>
        <w:t>month_data_encoded</w:t>
      </w:r>
      <w:proofErr w:type="spellEnd"/>
      <w:r w:rsidRPr="009872B0">
        <w:rPr>
          <w:rFonts w:ascii="Times New Roman" w:hAnsi="Times New Roman" w:cs="Times New Roman"/>
          <w:sz w:val="24"/>
          <w:szCs w:val="24"/>
        </w:rPr>
        <w:t xml:space="preserve"> is appended to the supplementary material of this paper.</w:t>
      </w:r>
    </w:p>
    <w:p w:rsidR="00896D6C" w:rsidRPr="009872B0" w:rsidRDefault="00B671FA">
      <w:pPr>
        <w:spacing w:line="360" w:lineRule="auto"/>
        <w:jc w:val="both"/>
        <w:rPr>
          <w:rFonts w:ascii="Times New Roman" w:hAnsi="Times New Roman" w:cs="Times New Roman"/>
          <w:sz w:val="20"/>
          <w:szCs w:val="20"/>
        </w:rPr>
      </w:pPr>
      <w:r>
        <w:rPr>
          <w:rFonts w:ascii="Times New Roman" w:hAnsi="Times New Roman" w:cs="Times New Roman"/>
          <w:sz w:val="24"/>
          <w:szCs w:val="24"/>
        </w:rPr>
        <w:t>B</w:t>
      </w:r>
      <w:r w:rsidR="002D7DE5" w:rsidRPr="009872B0">
        <w:rPr>
          <w:rFonts w:ascii="Times New Roman" w:hAnsi="Times New Roman" w:cs="Times New Roman"/>
          <w:sz w:val="24"/>
          <w:szCs w:val="24"/>
        </w:rPr>
        <w:t xml:space="preserve">efore using the </w:t>
      </w:r>
      <w:proofErr w:type="spellStart"/>
      <w:r w:rsidR="002D7DE5" w:rsidRPr="009872B0">
        <w:rPr>
          <w:rFonts w:ascii="Times New Roman" w:hAnsi="Times New Roman" w:cs="Times New Roman"/>
          <w:i/>
          <w:iCs/>
          <w:sz w:val="24"/>
          <w:szCs w:val="24"/>
        </w:rPr>
        <w:t>month_data_encoded</w:t>
      </w:r>
      <w:proofErr w:type="spellEnd"/>
      <w:r w:rsidR="002D7DE5" w:rsidRPr="009872B0">
        <w:rPr>
          <w:rFonts w:ascii="Times New Roman" w:hAnsi="Times New Roman" w:cs="Times New Roman"/>
          <w:sz w:val="24"/>
          <w:szCs w:val="24"/>
        </w:rPr>
        <w:t xml:space="preserve"> the resulting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2D7DE5" w:rsidRPr="009872B0">
        <w:rPr>
          <w:rFonts w:ascii="Times New Roman" w:hAnsi="Times New Roman" w:cs="Times New Roman"/>
          <w:iCs/>
          <w:sz w:val="24"/>
          <w:szCs w:val="24"/>
        </w:rPr>
        <w:t xml:space="preserve">s need to be </w:t>
      </w:r>
      <w:r w:rsidR="00FE4A84">
        <w:rPr>
          <w:rFonts w:ascii="Times New Roman" w:hAnsi="Times New Roman" w:cs="Times New Roman"/>
          <w:iCs/>
          <w:sz w:val="24"/>
          <w:szCs w:val="24"/>
        </w:rPr>
        <w:t xml:space="preserve">further </w:t>
      </w:r>
      <w:r w:rsidR="002D7DE5" w:rsidRPr="009872B0">
        <w:rPr>
          <w:rFonts w:ascii="Times New Roman" w:hAnsi="Times New Roman" w:cs="Times New Roman"/>
          <w:iCs/>
          <w:sz w:val="24"/>
          <w:szCs w:val="24"/>
        </w:rPr>
        <w:t xml:space="preserve">translated to 100 bins (ranging from 0-99). The discretization to the percentiles is done because BCNN models </w:t>
      </w:r>
      <w:r w:rsidR="002D7DE5" w:rsidRPr="009872B0">
        <w:rPr>
          <w:rFonts w:ascii="Times New Roman" w:hAnsi="Times New Roman" w:cs="Times New Roman"/>
          <w:sz w:val="24"/>
          <w:szCs w:val="24"/>
        </w:rPr>
        <w:t xml:space="preserve">are geared to conventionally work with classification (categorical) data. The bins are selected in a way that not only each bin represents equal percentile </w:t>
      </w:r>
      <w:r w:rsidR="00FE4A84" w:rsidRPr="009872B0">
        <w:rPr>
          <w:rFonts w:ascii="Times New Roman" w:hAnsi="Times New Roman" w:cs="Times New Roman"/>
          <w:sz w:val="24"/>
          <w:szCs w:val="24"/>
        </w:rPr>
        <w:t>amount</w:t>
      </w:r>
      <w:r w:rsidR="00FE4A84">
        <w:rPr>
          <w:rFonts w:ascii="Times New Roman" w:hAnsi="Times New Roman" w:cs="Times New Roman"/>
          <w:sz w:val="24"/>
          <w:szCs w:val="24"/>
        </w:rPr>
        <w:t>s</w:t>
      </w:r>
      <w:r w:rsidR="002D7DE5" w:rsidRPr="009872B0">
        <w:rPr>
          <w:rFonts w:ascii="Times New Roman" w:hAnsi="Times New Roman" w:cs="Times New Roman"/>
          <w:sz w:val="24"/>
          <w:szCs w:val="24"/>
        </w:rPr>
        <w:t xml:space="preserve"> of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2D7DE5" w:rsidRPr="009872B0">
        <w:rPr>
          <w:rFonts w:ascii="Times New Roman" w:hAnsi="Times New Roman" w:cs="Times New Roman"/>
          <w:iCs/>
          <w:sz w:val="24"/>
          <w:szCs w:val="24"/>
        </w:rPr>
        <w:t xml:space="preserve">s in itself, so that there exists sufficient number of training samples corresponded to each categorized bin of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2D7DE5" w:rsidRPr="009872B0">
        <w:rPr>
          <w:rFonts w:ascii="Times New Roman" w:hAnsi="Times New Roman" w:cs="Times New Roman"/>
          <w:iCs/>
          <w:sz w:val="24"/>
          <w:szCs w:val="24"/>
        </w:rPr>
        <w:t xml:space="preserve">, but also each bin’s range </w:t>
      </w:r>
      <w:r w:rsidR="002D7DE5" w:rsidRPr="009872B0">
        <w:rPr>
          <w:rFonts w:ascii="Times New Roman" w:hAnsi="Times New Roman" w:cs="Times New Roman"/>
          <w:iCs/>
          <w:sz w:val="24"/>
          <w:szCs w:val="24"/>
        </w:rPr>
        <w:lastRenderedPageBreak/>
        <w:t>(</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bmax</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bmin</m:t>
            </m:r>
          </m:sub>
        </m:sSub>
      </m:oMath>
      <w:r w:rsidR="002D7DE5" w:rsidRPr="009872B0">
        <w:rPr>
          <w:rFonts w:ascii="Times New Roman" w:hAnsi="Times New Roman" w:cs="Times New Roman"/>
          <w:iCs/>
          <w:sz w:val="24"/>
          <w:szCs w:val="24"/>
        </w:rPr>
        <w:t xml:space="preserve">) is sufficiently fine grained to reflect the original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2D7DE5" w:rsidRPr="009872B0">
        <w:rPr>
          <w:rFonts w:ascii="Times New Roman" w:hAnsi="Times New Roman" w:cs="Times New Roman"/>
          <w:iCs/>
          <w:sz w:val="24"/>
          <w:szCs w:val="24"/>
        </w:rPr>
        <w:t xml:space="preserve"> values</w:t>
      </w:r>
      <w:r w:rsidR="002D7DE5" w:rsidRPr="009872B0">
        <w:rPr>
          <w:rStyle w:val="FootnoteReference"/>
          <w:rFonts w:ascii="Times New Roman" w:hAnsi="Times New Roman" w:cs="Times New Roman"/>
          <w:iCs/>
          <w:sz w:val="24"/>
          <w:szCs w:val="24"/>
        </w:rPr>
        <w:footnoteReference w:id="7"/>
      </w:r>
      <w:r w:rsidR="002D7DE5" w:rsidRPr="009872B0">
        <w:rPr>
          <w:rFonts w:ascii="Times New Roman" w:hAnsi="Times New Roman" w:cs="Times New Roman"/>
          <w:iCs/>
          <w:sz w:val="24"/>
          <w:szCs w:val="24"/>
        </w:rPr>
        <w:t xml:space="preserve"> precisely enough. After extracting the model categorical predictions in form of reproduction percentiles, we can (and will) translate them again in terms of original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002D7DE5" w:rsidRPr="009872B0">
        <w:rPr>
          <w:rFonts w:ascii="Times New Roman" w:hAnsi="Times New Roman" w:cs="Times New Roman"/>
          <w:iCs/>
          <w:sz w:val="24"/>
          <w:szCs w:val="24"/>
        </w:rPr>
        <w:t xml:space="preserve"> values, in which we compute yet again the mean value of the minimum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bmin</m:t>
            </m:r>
          </m:sub>
        </m:sSub>
        <m:r>
          <w:rPr>
            <w:rFonts w:ascii="Cambria Math" w:hAnsi="Cambria Math" w:cs="Times New Roman"/>
            <w:sz w:val="24"/>
            <w:szCs w:val="24"/>
          </w:rPr>
          <m:t xml:space="preserve"> </m:t>
        </m:r>
      </m:oMath>
      <w:r w:rsidR="002D7DE5" w:rsidRPr="009872B0">
        <w:rPr>
          <w:rFonts w:ascii="Times New Roman" w:hAnsi="Times New Roman" w:cs="Times New Roman"/>
          <w:iCs/>
          <w:sz w:val="24"/>
          <w:szCs w:val="24"/>
        </w:rPr>
        <w:t xml:space="preserve">threshold and the maximum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bmax</m:t>
            </m:r>
          </m:sub>
        </m:sSub>
      </m:oMath>
      <w:r w:rsidR="002D7DE5" w:rsidRPr="009872B0">
        <w:rPr>
          <w:rFonts w:ascii="Times New Roman" w:hAnsi="Times New Roman" w:cs="Times New Roman"/>
          <w:iCs/>
          <w:sz w:val="24"/>
          <w:szCs w:val="24"/>
        </w:rPr>
        <w:t xml:space="preserve"> threshold of the corresponded bin i.e.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bmax</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bmin</m:t>
            </m:r>
          </m:sub>
        </m:sSub>
        <m:r>
          <w:rPr>
            <w:rFonts w:ascii="Cambria Math" w:hAnsi="Cambria Math" w:cs="Times New Roman"/>
            <w:sz w:val="24"/>
            <w:szCs w:val="24"/>
          </w:rPr>
          <m:t>)/2</m:t>
        </m:r>
      </m:oMath>
      <w:r w:rsidR="002D7DE5" w:rsidRPr="009872B0">
        <w:rPr>
          <w:rFonts w:ascii="Times New Roman" w:hAnsi="Times New Roman" w:cs="Times New Roman"/>
          <w:iCs/>
          <w:sz w:val="24"/>
          <w:szCs w:val="24"/>
        </w:rPr>
        <w:t xml:space="preserve"> </w:t>
      </w:r>
      <w:r w:rsidR="002D7DE5" w:rsidRPr="009872B0">
        <w:rPr>
          <w:rFonts w:ascii="Times New Roman" w:hAnsi="Times New Roman" w:cs="Times New Roman"/>
          <w:sz w:val="24"/>
          <w:szCs w:val="24"/>
        </w:rPr>
        <w:t>.</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3.3 Bayesian convolutional deep learning model</w:t>
      </w:r>
    </w:p>
    <w:p w:rsidR="00896D6C" w:rsidRPr="009872B0" w:rsidRDefault="002D7DE5">
      <w:pPr>
        <w:pStyle w:val="FootnoteText"/>
        <w:spacing w:line="360" w:lineRule="auto"/>
        <w:jc w:val="both"/>
        <w:rPr>
          <w:rStyle w:val="markedcontent"/>
          <w:rFonts w:ascii="Times New Roman" w:hAnsi="Times New Roman" w:cs="Times New Roman"/>
          <w:sz w:val="24"/>
          <w:szCs w:val="24"/>
        </w:rPr>
      </w:pPr>
      <w:r w:rsidRPr="009872B0">
        <w:rPr>
          <w:rFonts w:ascii="Times New Roman" w:hAnsi="Times New Roman" w:cs="Times New Roman"/>
          <w:sz w:val="24"/>
          <w:szCs w:val="24"/>
        </w:rPr>
        <w:t>Convolutional neural networks (CNNs) are deep learning approaches, which are conventionally used to solve image classification tasks. In this paper, however, we are making use of CNNs in a novel context. CNNs are capable to solve tasks that until recently were considered to lay beyond our computational reach (</w:t>
      </w:r>
      <w:proofErr w:type="spellStart"/>
      <w:r w:rsidRPr="009872B0">
        <w:rPr>
          <w:rFonts w:ascii="Times New Roman" w:hAnsi="Times New Roman" w:cs="Times New Roman"/>
          <w:sz w:val="24"/>
          <w:szCs w:val="24"/>
        </w:rPr>
        <w:t>Krizhevsky</w:t>
      </w:r>
      <w:proofErr w:type="spellEnd"/>
      <w:r w:rsidRPr="009872B0">
        <w:rPr>
          <w:rFonts w:ascii="Times New Roman" w:hAnsi="Times New Roman" w:cs="Times New Roman"/>
          <w:sz w:val="24"/>
          <w:szCs w:val="24"/>
        </w:rPr>
        <w:t xml:space="preserve"> et al., 2012; </w:t>
      </w:r>
      <w:proofErr w:type="spellStart"/>
      <w:r w:rsidRPr="009872B0">
        <w:rPr>
          <w:rFonts w:ascii="Times New Roman" w:hAnsi="Times New Roman" w:cs="Times New Roman"/>
          <w:sz w:val="24"/>
          <w:szCs w:val="24"/>
        </w:rPr>
        <w:t>Szegedy</w:t>
      </w:r>
      <w:proofErr w:type="spellEnd"/>
      <w:r w:rsidRPr="009872B0">
        <w:rPr>
          <w:rFonts w:ascii="Times New Roman" w:hAnsi="Times New Roman" w:cs="Times New Roman"/>
          <w:sz w:val="24"/>
          <w:szCs w:val="24"/>
        </w:rPr>
        <w:t xml:space="preserve"> et al., 2014). CNNs are composed of an input layer, an output layers, and hidden layers. The hidden layers perform learning feature tasks using a number of feature learning layers of four different kinds: fully connected layer, convolution layer, rectified linear unit and batch normalization layer. In the fully-connected layer, every unit is connected to previous layer units and making a mesh. The convolution layer entails units linked to their respective units coming from the preceding layer with filters that are represented by a matrix of weights that slide along the input data matrix to generate a feature map matrix using special dot product. Rectified linear unit (</w:t>
      </w:r>
      <w:proofErr w:type="spellStart"/>
      <w:r w:rsidRPr="009872B0">
        <w:rPr>
          <w:rFonts w:ascii="Times New Roman" w:hAnsi="Times New Roman" w:cs="Times New Roman"/>
          <w:sz w:val="24"/>
          <w:szCs w:val="24"/>
        </w:rPr>
        <w:t>ReLU</w:t>
      </w:r>
      <w:proofErr w:type="spellEnd"/>
      <w:r w:rsidRPr="009872B0">
        <w:rPr>
          <w:rFonts w:ascii="Times New Roman" w:hAnsi="Times New Roman" w:cs="Times New Roman"/>
          <w:sz w:val="24"/>
          <w:szCs w:val="24"/>
        </w:rPr>
        <w:t xml:space="preserve">) is used after each convolutional layer to increase the speed and effectiveness of training by mapping negative values to zeros and maintaining positive values, which is used as an activation. Batch normalizations are used as supplement layers after each convolution layer to alleviate the risk of overfitting by normalizing the input values of the following layers (Yamashita et al. 2018). CNNs require usually huge amounts of data for regularization and might not be fit to incorporate the factor uncertainty which is crucial when dealing with relatively small or uncertain data areas. In contrast to CNNs, Bayesian neural networks BNNs approach, which are developed in the ’90s and studied extensively since then (MacKay, 1992; Neal, 1995), are robust methods in terms of offering uncertainty estimates. BNNs can easily learn from small and uncertain datasets. Integration of BNNs and CNNs means a probabilistic interpretation of the deep learning CNN model by inferring distributions over the models’ weights and offering distributions over the models’ outputs. The inference in Bayesian </w:t>
      </w:r>
      <w:r w:rsidRPr="009872B0">
        <w:rPr>
          <w:rFonts w:ascii="Times New Roman" w:hAnsi="Times New Roman" w:cs="Times New Roman"/>
          <w:sz w:val="24"/>
          <w:szCs w:val="24"/>
        </w:rPr>
        <w:lastRenderedPageBreak/>
        <w:t>convolutional neural networks BCNNs model is guaranteed by using the flip out estimator (Wen et al., 2018), which performs a Monte Carlo approximation of the distribution integrating over the weights and biases. In this paper we apply a BCNN approach to the data described in the next section.</w:t>
      </w:r>
    </w:p>
    <w:p w:rsidR="00896D6C" w:rsidRPr="009872B0" w:rsidRDefault="002D7DE5">
      <w:pPr>
        <w:pStyle w:val="Heading3"/>
        <w:rPr>
          <w:rStyle w:val="markedcontent"/>
          <w:rFonts w:ascii="Times New Roman" w:hAnsi="Times New Roman" w:cs="Times New Roman"/>
          <w:sz w:val="24"/>
          <w:szCs w:val="24"/>
        </w:rPr>
      </w:pPr>
      <w:r w:rsidRPr="009872B0">
        <w:rPr>
          <w:rStyle w:val="markedcontent"/>
          <w:rFonts w:ascii="Times New Roman" w:hAnsi="Times New Roman" w:cs="Times New Roman"/>
          <w:sz w:val="24"/>
          <w:szCs w:val="24"/>
        </w:rPr>
        <w:t>3.4 BCNN approach</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We construct our BCNN by inserting the inputs presented in table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1"/>
        <w:gridCol w:w="1116"/>
        <w:gridCol w:w="1282"/>
        <w:gridCol w:w="1890"/>
        <w:gridCol w:w="3091"/>
      </w:tblGrid>
      <w:tr w:rsidR="009872B0" w:rsidRPr="009872B0">
        <w:tc>
          <w:tcPr>
            <w:tcW w:w="1971" w:type="dxa"/>
            <w:tcBorders>
              <w:bottom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 xml:space="preserve">Countries </w:t>
            </w:r>
          </w:p>
        </w:tc>
        <w:tc>
          <w:tcPr>
            <w:tcW w:w="1116" w:type="dxa"/>
            <w:tcBorders>
              <w:bottom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Month</w:t>
            </w:r>
          </w:p>
        </w:tc>
        <w:tc>
          <w:tcPr>
            <w:tcW w:w="1282" w:type="dxa"/>
            <w:tcBorders>
              <w:bottom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Accumulated vaccination rates</w:t>
            </w:r>
          </w:p>
        </w:tc>
        <w:tc>
          <w:tcPr>
            <w:tcW w:w="1890" w:type="dxa"/>
            <w:tcBorders>
              <w:bottom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Virus variants</w:t>
            </w:r>
          </w:p>
        </w:tc>
        <w:tc>
          <w:tcPr>
            <w:tcW w:w="3091" w:type="dxa"/>
            <w:tcBorders>
              <w:bottom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Government NPIs</w:t>
            </w:r>
            <w:r w:rsidRPr="009872B0">
              <w:rPr>
                <w:rStyle w:val="FootnoteReference"/>
                <w:rFonts w:ascii="Times New Roman" w:hAnsi="Times New Roman" w:cs="Times New Roman"/>
                <w:sz w:val="16"/>
                <w:szCs w:val="16"/>
              </w:rPr>
              <w:footnoteReference w:id="8"/>
            </w:r>
          </w:p>
        </w:tc>
      </w:tr>
      <w:tr w:rsidR="009872B0" w:rsidRPr="009872B0">
        <w:tc>
          <w:tcPr>
            <w:tcW w:w="1971" w:type="dxa"/>
            <w:tcBorders>
              <w:top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'countriesAndTerritories_0'</w:t>
            </w:r>
          </w:p>
        </w:tc>
        <w:tc>
          <w:tcPr>
            <w:tcW w:w="1116" w:type="dxa"/>
            <w:tcBorders>
              <w:top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'month_0'</w:t>
            </w:r>
          </w:p>
        </w:tc>
        <w:tc>
          <w:tcPr>
            <w:tcW w:w="1282" w:type="dxa"/>
            <w:tcBorders>
              <w:top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'vaccin_0'</w:t>
            </w:r>
          </w:p>
        </w:tc>
        <w:tc>
          <w:tcPr>
            <w:tcW w:w="1890" w:type="dxa"/>
            <w:tcBorders>
              <w:top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 xml:space="preserve">'AY.4.2', </w:t>
            </w:r>
          </w:p>
        </w:tc>
        <w:tc>
          <w:tcPr>
            <w:tcW w:w="3091" w:type="dxa"/>
            <w:tcBorders>
              <w:top w:val="single" w:sz="4" w:space="0" w:color="auto"/>
            </w:tcBorders>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AdaptationOfWorkplace</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'countriesAndTerritories_1'</w:t>
            </w:r>
          </w:p>
        </w:tc>
        <w:tc>
          <w:tcPr>
            <w:tcW w:w="1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'month_1'</w:t>
            </w:r>
          </w:p>
        </w:tc>
        <w:tc>
          <w:tcPr>
            <w:tcW w:w="1282"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'vaccin_1'</w:t>
            </w: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'B.1.1.529'</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AdaptationOfWorkplacePartial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'countriesAndTerritories_2'</w:t>
            </w:r>
          </w:p>
        </w:tc>
        <w:tc>
          <w:tcPr>
            <w:tcW w:w="1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'month_2'</w:t>
            </w:r>
          </w:p>
        </w:tc>
        <w:tc>
          <w:tcPr>
            <w:tcW w:w="1282"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'vaccin_2'</w:t>
            </w: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'B.1.1.7'</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BanOnAllEvents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'countriesAndTerritories_3'</w:t>
            </w:r>
          </w:p>
        </w:tc>
        <w:tc>
          <w:tcPr>
            <w:tcW w:w="1116"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'month_3'</w:t>
            </w:r>
          </w:p>
        </w:tc>
        <w:tc>
          <w:tcPr>
            <w:tcW w:w="1282"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'vaccin_3'</w:t>
            </w: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'B.1.1.7+E484K'</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BanOnAllEventsPartial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'countriesAndTerritories_4'</w:t>
            </w: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'vaccin_4'</w:t>
            </w: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'B.1.351'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ClosDaycare</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'B.1.427/B.1.429'</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ClosDaycarePartial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'B.1.525'</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ClosHigh</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'B.1.616'</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ClosHighPartial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'B.1.617.1'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ClosPrim</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'B.1.617.2'</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ClosPrimPartial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'B.1.617.3'</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ClosPubAny</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'B.1.620'</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ClosPubAnyPartial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'B.1.621'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ClosSec</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ClosSecPartial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'BA.2'</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ClosureOfPublicTransport</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'BA+L452X'</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ClosureOfPublicTransportPartial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'BA.2.75'</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EntertainmentVenues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'BA.3'</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EntertainmentVenuesPartial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'BA.4'</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GymsSportsCentres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'BA.4/BA.5'</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GymsSportsCentresPartial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'BA.5'</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HotelsOtherAccommodation</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'BQ.1'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HotelsOtherAccommodationPartial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'C.37'</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'IndoorOver100'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'Other'</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'IndoorOver1000'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'P.1'</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'IndoorOver50'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'P.3'</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'IndoorOver500'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'SGTF'</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MasksMandatoryAllSpaces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'UNK'</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MasksMandatoryAllSpacesPartial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'XBB'</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MasksMandatoryClosedSpaces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'XBB.1.5'</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MasksMandatoryClosedSpacesPartial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not_sequenced</w:t>
            </w:r>
            <w:proofErr w:type="spellEnd"/>
            <w:r w:rsidRPr="009872B0">
              <w:rPr>
                <w:rFonts w:ascii="Times New Roman" w:hAnsi="Times New Roman" w:cs="Times New Roman"/>
                <w:sz w:val="16"/>
                <w:szCs w:val="16"/>
              </w:rPr>
              <w:t>'</w:t>
            </w: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MasksVoluntaryAllSpaces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MasksVoluntaryAllSpacesPartial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MasksVoluntaryClosedSpaces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MasksVoluntaryClosedSpacesPartial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'MassGather50'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'MassGather50Partial'</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MassGatherAll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MassGatherAllPartial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NonEssentialShops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NonEssentialShopsPartial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 xml:space="preserve">'OutdoorOver100' </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'OutdoorOver1000'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'OutdoorOver50'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'OutdoorOver500'</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PlaceOfWorship</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PlaceOfWorshipPartial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PrivateGatheringRestrictions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PrivateGatheringRestrictionsPartial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QuarantineForInternationalTravellers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QuarantineForInternationalTravellersPartial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RegionalStayHomeOrder</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RegionalStayHomeOrderPartial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RestaurantsCafes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RestaurantsCafesPartial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SocialCircle</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SocialCirclePartial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StayHomeGen</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StayHomeGenPartial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StayHomeOrder</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StayHomeOrderPartial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StayHomeRiskG</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StayHomeRiskGPartial</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'Teleworking'</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TeleworkingPartial</w:t>
            </w:r>
            <w:proofErr w:type="spellEnd"/>
            <w:r w:rsidRPr="009872B0">
              <w:rPr>
                <w:rFonts w:ascii="Times New Roman" w:hAnsi="Times New Roman" w:cs="Times New Roman"/>
                <w:sz w:val="16"/>
                <w:szCs w:val="16"/>
              </w:rPr>
              <w:t xml:space="preserve">' </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WorkplaceClosures</w:t>
            </w:r>
            <w:proofErr w:type="spellEnd"/>
            <w:r w:rsidRPr="009872B0">
              <w:rPr>
                <w:rFonts w:ascii="Times New Roman" w:hAnsi="Times New Roman" w:cs="Times New Roman"/>
                <w:sz w:val="16"/>
                <w:szCs w:val="16"/>
              </w:rPr>
              <w:t>'</w:t>
            </w:r>
          </w:p>
        </w:tc>
      </w:tr>
      <w:tr w:rsidR="009872B0" w:rsidRPr="009872B0">
        <w:tc>
          <w:tcPr>
            <w:tcW w:w="1971" w:type="dxa"/>
          </w:tcPr>
          <w:p w:rsidR="00896D6C" w:rsidRPr="009872B0" w:rsidRDefault="00896D6C">
            <w:pPr>
              <w:jc w:val="both"/>
              <w:rPr>
                <w:rFonts w:ascii="Times New Roman" w:hAnsi="Times New Roman" w:cs="Times New Roman"/>
                <w:sz w:val="16"/>
                <w:szCs w:val="16"/>
              </w:rPr>
            </w:pPr>
          </w:p>
        </w:tc>
        <w:tc>
          <w:tcPr>
            <w:tcW w:w="1116" w:type="dxa"/>
          </w:tcPr>
          <w:p w:rsidR="00896D6C" w:rsidRPr="009872B0" w:rsidRDefault="00896D6C">
            <w:pPr>
              <w:jc w:val="both"/>
              <w:rPr>
                <w:rFonts w:ascii="Times New Roman" w:hAnsi="Times New Roman" w:cs="Times New Roman"/>
                <w:sz w:val="16"/>
                <w:szCs w:val="16"/>
              </w:rPr>
            </w:pPr>
          </w:p>
        </w:tc>
        <w:tc>
          <w:tcPr>
            <w:tcW w:w="1282" w:type="dxa"/>
          </w:tcPr>
          <w:p w:rsidR="00896D6C" w:rsidRPr="009872B0" w:rsidRDefault="00896D6C">
            <w:pPr>
              <w:jc w:val="both"/>
              <w:rPr>
                <w:rFonts w:ascii="Times New Roman" w:hAnsi="Times New Roman" w:cs="Times New Roman"/>
                <w:sz w:val="16"/>
                <w:szCs w:val="16"/>
              </w:rPr>
            </w:pPr>
          </w:p>
        </w:tc>
        <w:tc>
          <w:tcPr>
            <w:tcW w:w="1890" w:type="dxa"/>
          </w:tcPr>
          <w:p w:rsidR="00896D6C" w:rsidRPr="009872B0" w:rsidRDefault="00896D6C">
            <w:pPr>
              <w:jc w:val="both"/>
              <w:rPr>
                <w:rFonts w:ascii="Times New Roman" w:hAnsi="Times New Roman" w:cs="Times New Roman"/>
                <w:sz w:val="16"/>
                <w:szCs w:val="16"/>
              </w:rPr>
            </w:pPr>
          </w:p>
        </w:tc>
        <w:tc>
          <w:tcPr>
            <w:tcW w:w="3091" w:type="dxa"/>
          </w:tcPr>
          <w:p w:rsidR="00896D6C" w:rsidRPr="009872B0" w:rsidRDefault="002D7DE5">
            <w:pPr>
              <w:jc w:val="both"/>
              <w:rPr>
                <w:rFonts w:ascii="Times New Roman" w:hAnsi="Times New Roman" w:cs="Times New Roman"/>
                <w:sz w:val="16"/>
                <w:szCs w:val="16"/>
              </w:rPr>
            </w:pPr>
            <w:r w:rsidRPr="009872B0">
              <w:rPr>
                <w:rFonts w:ascii="Times New Roman" w:hAnsi="Times New Roman" w:cs="Times New Roman"/>
                <w:sz w:val="16"/>
                <w:szCs w:val="16"/>
              </w:rPr>
              <w:t>'</w:t>
            </w:r>
            <w:proofErr w:type="spellStart"/>
            <w:r w:rsidRPr="009872B0">
              <w:rPr>
                <w:rFonts w:ascii="Times New Roman" w:hAnsi="Times New Roman" w:cs="Times New Roman"/>
                <w:sz w:val="16"/>
                <w:szCs w:val="16"/>
              </w:rPr>
              <w:t>WorkplaceClosuresPartial</w:t>
            </w:r>
            <w:proofErr w:type="spellEnd"/>
            <w:r w:rsidRPr="009872B0">
              <w:rPr>
                <w:rFonts w:ascii="Times New Roman" w:hAnsi="Times New Roman" w:cs="Times New Roman"/>
                <w:sz w:val="16"/>
                <w:szCs w:val="16"/>
              </w:rPr>
              <w:t>'</w:t>
            </w:r>
          </w:p>
        </w:tc>
      </w:tr>
    </w:tbl>
    <w:p w:rsidR="00896D6C" w:rsidRPr="009872B0" w:rsidRDefault="002D7DE5">
      <w:pPr>
        <w:spacing w:line="360" w:lineRule="auto"/>
        <w:jc w:val="both"/>
        <w:rPr>
          <w:rFonts w:ascii="Times New Roman" w:hAnsi="Times New Roman" w:cs="Times New Roman"/>
          <w:sz w:val="20"/>
          <w:szCs w:val="20"/>
        </w:rPr>
      </w:pPr>
      <w:r w:rsidRPr="009872B0">
        <w:rPr>
          <w:rFonts w:ascii="Times New Roman" w:hAnsi="Times New Roman" w:cs="Times New Roman"/>
          <w:sz w:val="20"/>
          <w:szCs w:val="20"/>
        </w:rPr>
        <w:t>Table 3: Inputs of the neural network model</w:t>
      </w:r>
    </w:p>
    <w:p w:rsidR="00896D6C" w:rsidRPr="009872B0" w:rsidRDefault="002D7DE5">
      <w:pPr>
        <w:spacing w:line="360" w:lineRule="auto"/>
        <w:jc w:val="both"/>
      </w:pPr>
      <w:r w:rsidRPr="009872B0">
        <w:rPr>
          <w:rFonts w:ascii="Times New Roman" w:hAnsi="Times New Roman" w:cs="Times New Roman"/>
          <w:sz w:val="24"/>
          <w:szCs w:val="24"/>
        </w:rPr>
        <w:t xml:space="preserve">The total of 111 input features in table 3 are put in a list and </w:t>
      </w:r>
      <w:r w:rsidRPr="009872B0">
        <w:rPr>
          <w:rFonts w:ascii="Times New Roman" w:hAnsi="Times New Roman" w:cs="Times New Roman"/>
          <w:i/>
          <w:iCs/>
          <w:sz w:val="24"/>
          <w:szCs w:val="24"/>
        </w:rPr>
        <w:t>alphabetically</w:t>
      </w:r>
      <w:r w:rsidRPr="009872B0">
        <w:rPr>
          <w:rFonts w:ascii="Times New Roman" w:hAnsi="Times New Roman" w:cs="Times New Roman"/>
          <w:sz w:val="24"/>
          <w:szCs w:val="24"/>
        </w:rPr>
        <w:t xml:space="preserve"> ordered and are converted to a form of a </w:t>
      </w:r>
      <w:r w:rsidRPr="009872B0">
        <w:rPr>
          <w:rFonts w:ascii="Times New Roman" w:hAnsi="Times New Roman" w:cs="Times New Roman"/>
          <w:i/>
          <w:iCs/>
          <w:sz w:val="24"/>
          <w:szCs w:val="24"/>
        </w:rPr>
        <w:t>one dimensional</w:t>
      </w:r>
      <w:r w:rsidRPr="009872B0">
        <w:rPr>
          <w:rFonts w:ascii="Times New Roman" w:hAnsi="Times New Roman" w:cs="Times New Roman"/>
          <w:sz w:val="24"/>
          <w:szCs w:val="24"/>
        </w:rPr>
        <w:t xml:space="preserve"> </w:t>
      </w:r>
      <w:r w:rsidRPr="009872B0">
        <w:rPr>
          <w:rFonts w:ascii="Times New Roman" w:hAnsi="Times New Roman" w:cs="Times New Roman"/>
          <w:i/>
          <w:iCs/>
          <w:sz w:val="24"/>
          <w:szCs w:val="24"/>
        </w:rPr>
        <w:t>image</w:t>
      </w:r>
      <w:r w:rsidRPr="009872B0">
        <w:rPr>
          <w:rFonts w:ascii="Times New Roman" w:hAnsi="Times New Roman" w:cs="Times New Roman"/>
          <w:sz w:val="24"/>
          <w:szCs w:val="24"/>
        </w:rPr>
        <w:t xml:space="preserve"> to </w:t>
      </w:r>
      <w:r w:rsidR="006F6796">
        <w:rPr>
          <w:rFonts w:ascii="Times New Roman" w:hAnsi="Times New Roman" w:cs="Times New Roman"/>
          <w:sz w:val="24"/>
          <w:szCs w:val="24"/>
        </w:rPr>
        <w:t xml:space="preserve">be the input of our BCNN model. Note that the value of all features lays between 0 and 1. </w:t>
      </w:r>
      <w:r w:rsidRPr="009872B0">
        <w:rPr>
          <w:rFonts w:ascii="Times New Roman" w:hAnsi="Times New Roman" w:cs="Times New Roman"/>
          <w:sz w:val="24"/>
          <w:szCs w:val="24"/>
        </w:rPr>
        <w:t xml:space="preserve">The output of the model is entailing </w:t>
      </w:r>
      <w:r w:rsidR="006F6796">
        <w:rPr>
          <w:rFonts w:ascii="Times New Roman" w:hAnsi="Times New Roman" w:cs="Times New Roman"/>
          <w:sz w:val="24"/>
          <w:szCs w:val="24"/>
        </w:rPr>
        <w:t xml:space="preserve">just </w:t>
      </w:r>
      <w:r w:rsidRPr="009872B0">
        <w:rPr>
          <w:rFonts w:ascii="Times New Roman" w:hAnsi="Times New Roman" w:cs="Times New Roman"/>
          <w:sz w:val="24"/>
          <w:szCs w:val="24"/>
        </w:rPr>
        <w:t xml:space="preserve">one feature representing </w:t>
      </w:r>
      <w:r w:rsidR="006F6796">
        <w:rPr>
          <w:rFonts w:ascii="Times New Roman" w:hAnsi="Times New Roman" w:cs="Times New Roman"/>
          <w:sz w:val="24"/>
          <w:szCs w:val="24"/>
        </w:rPr>
        <w:t xml:space="preserve">the </w:t>
      </w:r>
      <w:r w:rsidRPr="009872B0">
        <w:rPr>
          <w:rFonts w:ascii="Times New Roman" w:hAnsi="Times New Roman" w:cs="Times New Roman"/>
          <w:sz w:val="24"/>
          <w:szCs w:val="24"/>
        </w:rPr>
        <w:t>corresponding reproduction rate as described in section 3.2. The applied BCNN model in this paper, learns to figure out the reproduction rate percentiles given the inputs. The model is summarized in table 4 and depicted in figure 1.</w:t>
      </w:r>
      <w:r w:rsidRPr="009872B0">
        <w:t xml:space="preserve"> </w:t>
      </w:r>
    </w:p>
    <w:p w:rsidR="00896D6C" w:rsidRPr="009872B0" w:rsidRDefault="002D7DE5">
      <w:pPr>
        <w:spacing w:line="360" w:lineRule="auto"/>
        <w:jc w:val="center"/>
        <w:rPr>
          <w:rFonts w:ascii="Times New Roman" w:hAnsi="Times New Roman" w:cs="Times New Roman"/>
          <w:sz w:val="24"/>
          <w:szCs w:val="24"/>
        </w:rPr>
      </w:pPr>
      <w:r w:rsidRPr="009872B0">
        <w:rPr>
          <w:noProof/>
        </w:rPr>
        <w:lastRenderedPageBreak/>
        <mc:AlternateContent>
          <mc:Choice Requires="wpg">
            <w:drawing>
              <wp:inline distT="0" distB="0" distL="0" distR="0" wp14:anchorId="333FE3B1" wp14:editId="350EC409">
                <wp:extent cx="3115739" cy="51054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16"/>
                        <a:stretch/>
                      </pic:blipFill>
                      <pic:spPr bwMode="auto">
                        <a:xfrm>
                          <a:off x="0" y="0"/>
                          <a:ext cx="3162294" cy="518168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245.3pt;height:402.0pt;" stroked="false">
                <v:path textboxrect="0,0,0,0"/>
                <v:imagedata r:id="rId18" o:title=""/>
              </v:shape>
            </w:pict>
          </mc:Fallback>
        </mc:AlternateConten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2337"/>
        <w:gridCol w:w="2338"/>
      </w:tblGrid>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Layer (type)  </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Output Shape</w:t>
            </w:r>
          </w:p>
        </w:tc>
        <w:tc>
          <w:tcPr>
            <w:tcW w:w="2338" w:type="dxa"/>
          </w:tcPr>
          <w:p w:rsidR="00896D6C" w:rsidRPr="009872B0" w:rsidRDefault="002D7DE5">
            <w:pPr>
              <w:spacing w:line="276" w:lineRule="auto"/>
              <w:rPr>
                <w:rFonts w:ascii="Times New Roman" w:hAnsi="Times New Roman" w:cs="Times New Roman"/>
                <w:sz w:val="18"/>
                <w:szCs w:val="18"/>
              </w:rPr>
            </w:pPr>
            <w:proofErr w:type="spellStart"/>
            <w:r w:rsidRPr="009872B0">
              <w:rPr>
                <w:rFonts w:ascii="Times New Roman" w:hAnsi="Times New Roman" w:cs="Times New Roman"/>
                <w:sz w:val="18"/>
                <w:szCs w:val="18"/>
              </w:rPr>
              <w:t>Param</w:t>
            </w:r>
            <w:proofErr w:type="spellEnd"/>
            <w:r w:rsidRPr="009872B0">
              <w:rPr>
                <w:rFonts w:ascii="Times New Roman" w:hAnsi="Times New Roman" w:cs="Times New Roman"/>
                <w:sz w:val="18"/>
                <w:szCs w:val="18"/>
              </w:rPr>
              <w:t xml:space="preserve"> #</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input_2 (</w:t>
            </w:r>
            <w:proofErr w:type="spellStart"/>
            <w:r w:rsidRPr="009872B0">
              <w:rPr>
                <w:rFonts w:ascii="Times New Roman" w:hAnsi="Times New Roman" w:cs="Times New Roman"/>
                <w:sz w:val="18"/>
                <w:szCs w:val="18"/>
              </w:rPr>
              <w:t>InputLayer</w:t>
            </w:r>
            <w:proofErr w:type="spellEnd"/>
            <w:r w:rsidRPr="009872B0">
              <w:rPr>
                <w:rFonts w:ascii="Times New Roman" w:hAnsi="Times New Roman" w:cs="Times New Roman"/>
                <w:sz w:val="18"/>
                <w:szCs w:val="18"/>
              </w:rPr>
              <w:t xml:space="preserve">)  </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1, 111, 1)]</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0</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conv2d_flipout_2 (Conv2Dflipout </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(None, 1, 111, 32)  </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224  </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 batch_normalization_2 (</w:t>
            </w:r>
            <w:proofErr w:type="spellStart"/>
            <w:r w:rsidRPr="009872B0">
              <w:rPr>
                <w:rFonts w:ascii="Times New Roman" w:hAnsi="Times New Roman" w:cs="Times New Roman"/>
                <w:sz w:val="18"/>
                <w:szCs w:val="18"/>
              </w:rPr>
              <w:t>BatchNormalization</w:t>
            </w:r>
            <w:proofErr w:type="spellEnd"/>
            <w:r w:rsidRPr="009872B0">
              <w:rPr>
                <w:rFonts w:ascii="Times New Roman" w:hAnsi="Times New Roman" w:cs="Times New Roman"/>
                <w:sz w:val="18"/>
                <w:szCs w:val="18"/>
              </w:rPr>
              <w:t xml:space="preserve">)                                    </w:t>
            </w:r>
          </w:p>
          <w:p w:rsidR="00896D6C" w:rsidRPr="009872B0" w:rsidRDefault="00896D6C">
            <w:pPr>
              <w:spacing w:line="276" w:lineRule="auto"/>
              <w:rPr>
                <w:rFonts w:ascii="Times New Roman" w:hAnsi="Times New Roman" w:cs="Times New Roman"/>
                <w:sz w:val="18"/>
                <w:szCs w:val="18"/>
              </w:rPr>
            </w:pP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1, 111, 32)</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128</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activation_2 (Activation)</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1, 111, 32)</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0  </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conv2d_flipout_3 (Conv2DFlipout)</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(None, 1, 111, 64)  </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12352</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batch_normalization_3 (</w:t>
            </w:r>
            <w:proofErr w:type="spellStart"/>
            <w:r w:rsidRPr="009872B0">
              <w:rPr>
                <w:rFonts w:ascii="Times New Roman" w:hAnsi="Times New Roman" w:cs="Times New Roman"/>
                <w:sz w:val="18"/>
                <w:szCs w:val="18"/>
              </w:rPr>
              <w:t>BatchNormalization</w:t>
            </w:r>
            <w:proofErr w:type="spellEnd"/>
            <w:r w:rsidRPr="009872B0">
              <w:rPr>
                <w:rFonts w:ascii="Times New Roman" w:hAnsi="Times New Roman" w:cs="Times New Roman"/>
                <w:sz w:val="18"/>
                <w:szCs w:val="18"/>
              </w:rPr>
              <w:t>)</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1, 111, 64)</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256</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activation_3 (Activation)</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1, 111, 64)</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0</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flatten_1 (Flatten)</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(None, 7104)</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0</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dense_flipout_2 (</w:t>
            </w:r>
            <w:proofErr w:type="spellStart"/>
            <w:r w:rsidRPr="009872B0">
              <w:rPr>
                <w:rFonts w:ascii="Times New Roman" w:hAnsi="Times New Roman" w:cs="Times New Roman"/>
                <w:sz w:val="18"/>
                <w:szCs w:val="18"/>
              </w:rPr>
              <w:t>DenseFlipout</w:t>
            </w:r>
            <w:proofErr w:type="spellEnd"/>
            <w:r w:rsidRPr="009872B0">
              <w:rPr>
                <w:rFonts w:ascii="Times New Roman" w:hAnsi="Times New Roman" w:cs="Times New Roman"/>
                <w:sz w:val="18"/>
                <w:szCs w:val="18"/>
              </w:rPr>
              <w:t>)</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(None, 512)  </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7275008   </w:t>
            </w:r>
          </w:p>
        </w:tc>
      </w:tr>
      <w:tr w:rsidR="009872B0" w:rsidRPr="009872B0">
        <w:trPr>
          <w:jc w:val="center"/>
        </w:trPr>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dense_flipout_3 (</w:t>
            </w:r>
            <w:proofErr w:type="spellStart"/>
            <w:r w:rsidRPr="009872B0">
              <w:rPr>
                <w:rFonts w:ascii="Times New Roman" w:hAnsi="Times New Roman" w:cs="Times New Roman"/>
                <w:sz w:val="18"/>
                <w:szCs w:val="18"/>
              </w:rPr>
              <w:t>DenseFlipout</w:t>
            </w:r>
            <w:proofErr w:type="spellEnd"/>
            <w:r w:rsidRPr="009872B0">
              <w:rPr>
                <w:rFonts w:ascii="Times New Roman" w:hAnsi="Times New Roman" w:cs="Times New Roman"/>
                <w:sz w:val="18"/>
                <w:szCs w:val="18"/>
              </w:rPr>
              <w:t>)</w:t>
            </w:r>
          </w:p>
        </w:tc>
        <w:tc>
          <w:tcPr>
            <w:tcW w:w="2337"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(None, 100)  </w:t>
            </w:r>
          </w:p>
        </w:tc>
        <w:tc>
          <w:tcPr>
            <w:tcW w:w="2338" w:type="dxa"/>
          </w:tcPr>
          <w:p w:rsidR="00896D6C" w:rsidRPr="009872B0" w:rsidRDefault="002D7DE5">
            <w:pPr>
              <w:spacing w:line="276" w:lineRule="auto"/>
              <w:rPr>
                <w:rFonts w:ascii="Times New Roman" w:hAnsi="Times New Roman" w:cs="Times New Roman"/>
                <w:sz w:val="18"/>
                <w:szCs w:val="18"/>
              </w:rPr>
            </w:pPr>
            <w:r w:rsidRPr="009872B0">
              <w:rPr>
                <w:rFonts w:ascii="Times New Roman" w:hAnsi="Times New Roman" w:cs="Times New Roman"/>
                <w:sz w:val="18"/>
                <w:szCs w:val="18"/>
              </w:rPr>
              <w:t xml:space="preserve">102500   </w:t>
            </w:r>
          </w:p>
          <w:p w:rsidR="00896D6C" w:rsidRPr="009872B0" w:rsidRDefault="00896D6C">
            <w:pPr>
              <w:spacing w:line="276" w:lineRule="auto"/>
              <w:rPr>
                <w:rFonts w:ascii="Times New Roman" w:hAnsi="Times New Roman" w:cs="Times New Roman"/>
                <w:sz w:val="18"/>
                <w:szCs w:val="18"/>
              </w:rPr>
            </w:pPr>
          </w:p>
          <w:p w:rsidR="00896D6C" w:rsidRPr="009872B0" w:rsidRDefault="00896D6C">
            <w:pPr>
              <w:spacing w:line="276" w:lineRule="auto"/>
              <w:rPr>
                <w:rFonts w:ascii="Times New Roman" w:hAnsi="Times New Roman" w:cs="Times New Roman"/>
                <w:sz w:val="18"/>
                <w:szCs w:val="18"/>
              </w:rPr>
            </w:pPr>
          </w:p>
        </w:tc>
      </w:tr>
    </w:tbl>
    <w:p w:rsidR="00896D6C" w:rsidRPr="009872B0" w:rsidRDefault="002D7DE5" w:rsidP="00DB69CF">
      <w:pPr>
        <w:spacing w:after="0" w:line="360" w:lineRule="auto"/>
        <w:jc w:val="both"/>
        <w:rPr>
          <w:rFonts w:ascii="Times New Roman" w:hAnsi="Times New Roman" w:cs="Times New Roman"/>
          <w:sz w:val="20"/>
          <w:szCs w:val="20"/>
        </w:rPr>
      </w:pPr>
      <w:r w:rsidRPr="009872B0">
        <w:rPr>
          <w:rFonts w:ascii="Times New Roman" w:hAnsi="Times New Roman" w:cs="Times New Roman"/>
          <w:sz w:val="20"/>
          <w:szCs w:val="20"/>
        </w:rPr>
        <w:lastRenderedPageBreak/>
        <w:t>Table 4 &amp; figure 1</w:t>
      </w:r>
      <w:r w:rsidR="00997D51">
        <w:rPr>
          <w:rFonts w:ascii="Times New Roman" w:hAnsi="Times New Roman" w:cs="Times New Roman"/>
          <w:sz w:val="20"/>
          <w:szCs w:val="20"/>
        </w:rPr>
        <w:t xml:space="preserve"> </w:t>
      </w:r>
      <w:r w:rsidR="00DB69CF">
        <w:rPr>
          <w:rFonts w:ascii="Times New Roman" w:hAnsi="Times New Roman" w:cs="Times New Roman"/>
          <w:sz w:val="20"/>
          <w:szCs w:val="20"/>
        </w:rPr>
        <w:t>(</w:t>
      </w:r>
      <w:r w:rsidR="00310D3D" w:rsidRPr="00A41C1A">
        <w:rPr>
          <w:rFonts w:ascii="Times New Roman" w:hAnsi="Times New Roman" w:cs="Times New Roman"/>
          <w:sz w:val="20"/>
          <w:szCs w:val="20"/>
        </w:rPr>
        <w:t>h</w:t>
      </w:r>
      <w:r w:rsidR="00DB69CF" w:rsidRPr="00A41C1A">
        <w:rPr>
          <w:rFonts w:ascii="Times New Roman" w:hAnsi="Times New Roman" w:cs="Times New Roman"/>
          <w:sz w:val="20"/>
          <w:szCs w:val="20"/>
        </w:rPr>
        <w:t>igh resolution image</w:t>
      </w:r>
      <w:r w:rsidR="00DB69CF">
        <w:rPr>
          <w:rFonts w:ascii="Times New Roman" w:hAnsi="Times New Roman" w:cs="Times New Roman"/>
          <w:sz w:val="20"/>
          <w:szCs w:val="20"/>
        </w:rPr>
        <w:t>)</w:t>
      </w:r>
      <w:r w:rsidRPr="009872B0">
        <w:rPr>
          <w:rFonts w:ascii="Times New Roman" w:hAnsi="Times New Roman" w:cs="Times New Roman"/>
          <w:sz w:val="20"/>
          <w:szCs w:val="20"/>
        </w:rPr>
        <w:t>: summary of the BCNN model (Total parameters: 7,390,468, Trainable parameters: 7,390,276, Non-trainable parameters: 192)</w:t>
      </w:r>
    </w:p>
    <w:p w:rsidR="00896D6C" w:rsidRPr="009872B0" w:rsidRDefault="009E15BA">
      <w:pPr>
        <w:pStyle w:val="Heading2"/>
        <w:numPr>
          <w:ilvl w:val="0"/>
          <w:numId w:val="5"/>
        </w:numPr>
        <w:spacing w:line="360" w:lineRule="auto"/>
        <w:rPr>
          <w:rFonts w:ascii="Times New Roman" w:hAnsi="Times New Roman" w:cs="Times New Roman"/>
          <w:sz w:val="28"/>
          <w:szCs w:val="28"/>
        </w:rPr>
      </w:pPr>
      <w:r w:rsidRPr="009872B0">
        <w:rPr>
          <w:rFonts w:ascii="Times New Roman" w:hAnsi="Times New Roman" w:cs="Times New Roman"/>
          <w:sz w:val="28"/>
          <w:szCs w:val="28"/>
        </w:rPr>
        <w:t>Model r</w:t>
      </w:r>
      <w:r w:rsidR="002D7DE5" w:rsidRPr="009872B0">
        <w:rPr>
          <w:rFonts w:ascii="Times New Roman" w:hAnsi="Times New Roman" w:cs="Times New Roman"/>
          <w:sz w:val="28"/>
          <w:szCs w:val="28"/>
        </w:rPr>
        <w:t>esults</w:t>
      </w:r>
      <w:r w:rsidRPr="009872B0">
        <w:rPr>
          <w:rFonts w:ascii="Times New Roman" w:hAnsi="Times New Roman" w:cs="Times New Roman"/>
          <w:sz w:val="28"/>
          <w:szCs w:val="28"/>
        </w:rPr>
        <w:t xml:space="preserve"> and interpretation</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4.1 Model metrics</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The BCNN model is trained 1000 times over the 80% of the 21549 rows × 112 columns of data. The training code (to replicate the training process</w:t>
      </w:r>
      <w:r w:rsidRPr="009872B0">
        <w:rPr>
          <w:rStyle w:val="FootnoteReference"/>
          <w:rFonts w:ascii="Times New Roman" w:hAnsi="Times New Roman" w:cs="Times New Roman"/>
          <w:sz w:val="24"/>
          <w:szCs w:val="24"/>
        </w:rPr>
        <w:footnoteReference w:id="9"/>
      </w:r>
      <w:r w:rsidRPr="009872B0">
        <w:rPr>
          <w:rFonts w:ascii="Times New Roman" w:hAnsi="Times New Roman" w:cs="Times New Roman"/>
          <w:sz w:val="24"/>
          <w:szCs w:val="24"/>
        </w:rPr>
        <w:t xml:space="preserve">), the saved model (to regenerate the model predictions) as well as training and evaluation losses, training and evaluation root mean square errors are appended to the supplementary material of this paper. Figure 2 reveals the preciseness of the predicted month based reproduction rates percentiles of the model for a </w:t>
      </w:r>
      <w:r w:rsidRPr="009872B0">
        <w:rPr>
          <w:rFonts w:ascii="Times New Roman" w:hAnsi="Times New Roman" w:cs="Times New Roman"/>
          <w:i/>
          <w:iCs/>
          <w:sz w:val="24"/>
          <w:szCs w:val="24"/>
        </w:rPr>
        <w:t>hold out</w:t>
      </w:r>
      <w:r w:rsidRPr="009872B0">
        <w:rPr>
          <w:rFonts w:ascii="Times New Roman" w:hAnsi="Times New Roman" w:cs="Times New Roman"/>
          <w:sz w:val="24"/>
          <w:szCs w:val="24"/>
        </w:rPr>
        <w:t xml:space="preserve"> set comprising 20% random split test data as well as for the training and evaluation data sets. The violin plots of the upper panels in figure 2 demonstrate the distribution of 100 resulting root mean squared errors when the saved model is required to 100 times predict reproduction rates percentiles. As one can see the estimated error between the predicted </w:t>
      </w:r>
      <w:r w:rsidR="00622441">
        <w:rPr>
          <w:rFonts w:ascii="Times New Roman" w:hAnsi="Times New Roman" w:cs="Times New Roman"/>
          <w:sz w:val="24"/>
          <w:szCs w:val="24"/>
        </w:rPr>
        <w:t xml:space="preserve">reproduction </w:t>
      </w:r>
      <w:r w:rsidRPr="009872B0">
        <w:rPr>
          <w:rFonts w:ascii="Times New Roman" w:hAnsi="Times New Roman" w:cs="Times New Roman"/>
          <w:sz w:val="24"/>
          <w:szCs w:val="24"/>
        </w:rPr>
        <w:t>values and the actual values are less than 5%</w:t>
      </w:r>
      <w:r w:rsidR="00276EA8">
        <w:rPr>
          <w:rFonts w:ascii="Times New Roman" w:hAnsi="Times New Roman" w:cs="Times New Roman"/>
          <w:sz w:val="24"/>
          <w:szCs w:val="24"/>
        </w:rPr>
        <w:t xml:space="preserve"> in all 3 sets. The lower panel</w:t>
      </w:r>
      <w:r w:rsidRPr="009872B0">
        <w:rPr>
          <w:rFonts w:ascii="Times New Roman" w:hAnsi="Times New Roman" w:cs="Times New Roman"/>
          <w:sz w:val="24"/>
          <w:szCs w:val="24"/>
        </w:rPr>
        <w:t xml:space="preserve"> in figure 2 demonstrate</w:t>
      </w:r>
      <w:r w:rsidR="00276EA8">
        <w:rPr>
          <w:rFonts w:ascii="Times New Roman" w:hAnsi="Times New Roman" w:cs="Times New Roman"/>
          <w:sz w:val="24"/>
          <w:szCs w:val="24"/>
        </w:rPr>
        <w:t>s</w:t>
      </w:r>
      <w:r w:rsidRPr="009872B0">
        <w:rPr>
          <w:rFonts w:ascii="Times New Roman" w:hAnsi="Times New Roman" w:cs="Times New Roman"/>
          <w:sz w:val="24"/>
          <w:szCs w:val="24"/>
        </w:rPr>
        <w:t xml:space="preserve"> the root mean squared errors when the saved model is required to 100 times predict reproduction rates percentiles and the predicted value for each row of data is calculated by averaging of the entire 100 predicted values for that row and then compared to the actual one. As one can see the estimated error between the predicted values and the actual values decrease up to less than 3% for each of training, hold out and evaluation sets if we utilize the BCNN model’s average predicted outputs. The accuracy of the obtained model to predict in all above mentioned sets, is the proceeding base on which we can draw reliable inferences.</w:t>
      </w:r>
    </w:p>
    <w:p w:rsidR="00896D6C" w:rsidRPr="009872B0" w:rsidRDefault="001A56EE">
      <w:pPr>
        <w:keepNext/>
        <w:spacing w:line="360" w:lineRule="auto"/>
      </w:pPr>
      <w:r>
        <w:rPr>
          <w:noProof/>
        </w:rPr>
        <w:lastRenderedPageBreak/>
        <w:drawing>
          <wp:inline distT="0" distB="0" distL="0" distR="0" wp14:anchorId="6E4A1896" wp14:editId="4B072487">
            <wp:extent cx="6080760"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80760" cy="4381500"/>
                    </a:xfrm>
                    <a:prstGeom prst="rect">
                      <a:avLst/>
                    </a:prstGeom>
                  </pic:spPr>
                </pic:pic>
              </a:graphicData>
            </a:graphic>
          </wp:inline>
        </w:drawing>
      </w:r>
      <w:bookmarkStart w:id="0" w:name="_GoBack"/>
      <w:bookmarkEnd w:id="0"/>
    </w:p>
    <w:p w:rsidR="00896D6C" w:rsidRPr="009872B0" w:rsidRDefault="002D7DE5">
      <w:pPr>
        <w:pStyle w:val="Caption"/>
        <w:jc w:val="both"/>
        <w:rPr>
          <w:rFonts w:ascii="Times New Roman" w:hAnsi="Times New Roman" w:cs="Times New Roman"/>
          <w:i w:val="0"/>
          <w:iCs w:val="0"/>
          <w:color w:val="auto"/>
          <w:sz w:val="20"/>
          <w:szCs w:val="20"/>
        </w:rPr>
      </w:pPr>
      <w:r w:rsidRPr="00997D51">
        <w:rPr>
          <w:rFonts w:ascii="Times New Roman" w:hAnsi="Times New Roman" w:cs="Times New Roman"/>
          <w:i w:val="0"/>
          <w:iCs w:val="0"/>
          <w:color w:val="auto"/>
          <w:sz w:val="20"/>
          <w:szCs w:val="20"/>
        </w:rPr>
        <w:t>Figure 2</w:t>
      </w:r>
      <w:r w:rsidR="00997D51">
        <w:rPr>
          <w:rFonts w:ascii="Times New Roman" w:hAnsi="Times New Roman" w:cs="Times New Roman"/>
          <w:i w:val="0"/>
          <w:iCs w:val="0"/>
          <w:color w:val="auto"/>
          <w:sz w:val="20"/>
          <w:szCs w:val="20"/>
        </w:rPr>
        <w:t xml:space="preserve"> </w:t>
      </w:r>
      <w:r w:rsidR="00997D51" w:rsidRPr="00997D51">
        <w:rPr>
          <w:rFonts w:ascii="Times New Roman" w:hAnsi="Times New Roman" w:cs="Times New Roman"/>
          <w:i w:val="0"/>
          <w:iCs w:val="0"/>
          <w:sz w:val="20"/>
          <w:szCs w:val="20"/>
        </w:rPr>
        <w:t>(</w:t>
      </w:r>
      <w:r w:rsidR="00310D3D" w:rsidRPr="00A41C1A">
        <w:rPr>
          <w:rFonts w:ascii="Times New Roman" w:hAnsi="Times New Roman" w:cs="Times New Roman"/>
          <w:i w:val="0"/>
          <w:iCs w:val="0"/>
          <w:sz w:val="20"/>
          <w:szCs w:val="20"/>
        </w:rPr>
        <w:t>h</w:t>
      </w:r>
      <w:r w:rsidR="00997D51" w:rsidRPr="00A41C1A">
        <w:rPr>
          <w:rFonts w:ascii="Times New Roman" w:hAnsi="Times New Roman" w:cs="Times New Roman"/>
          <w:i w:val="0"/>
          <w:iCs w:val="0"/>
          <w:sz w:val="20"/>
          <w:szCs w:val="20"/>
        </w:rPr>
        <w:t>igh resolution image</w:t>
      </w:r>
      <w:r w:rsidR="00997D51" w:rsidRPr="00997D51">
        <w:rPr>
          <w:rFonts w:ascii="Times New Roman" w:hAnsi="Times New Roman" w:cs="Times New Roman"/>
          <w:i w:val="0"/>
          <w:iCs w:val="0"/>
          <w:sz w:val="20"/>
          <w:szCs w:val="20"/>
        </w:rPr>
        <w:t>)</w:t>
      </w:r>
      <w:r w:rsidRPr="00997D51">
        <w:rPr>
          <w:rFonts w:ascii="Times New Roman" w:hAnsi="Times New Roman" w:cs="Times New Roman"/>
          <w:i w:val="0"/>
          <w:iCs w:val="0"/>
          <w:color w:val="auto"/>
          <w:sz w:val="20"/>
          <w:szCs w:val="20"/>
        </w:rPr>
        <w:t>: model metrics over</w:t>
      </w:r>
      <w:r w:rsidRPr="009872B0">
        <w:rPr>
          <w:rFonts w:ascii="Times New Roman" w:hAnsi="Times New Roman" w:cs="Times New Roman"/>
          <w:i w:val="0"/>
          <w:iCs w:val="0"/>
          <w:color w:val="auto"/>
          <w:sz w:val="20"/>
          <w:szCs w:val="20"/>
        </w:rPr>
        <w:t xml:space="preserve"> hold out, training and evaluation data sets</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4.2 Permutation Feature Importance</w:t>
      </w:r>
    </w:p>
    <w:p w:rsidR="00896D6C" w:rsidRPr="009872B0" w:rsidRDefault="00122ABC" w:rsidP="00122AB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In order to </w:t>
      </w:r>
      <w:r w:rsidR="002D7DE5" w:rsidRPr="009872B0">
        <w:rPr>
          <w:rFonts w:ascii="Times New Roman" w:eastAsia="Times New Roman" w:hAnsi="Times New Roman" w:cs="Times New Roman"/>
          <w:sz w:val="24"/>
          <w:szCs w:val="24"/>
        </w:rPr>
        <w:t>assess the significance of each input feature (explanatory variable) in the predicted reproduction rat</w:t>
      </w:r>
      <w:r>
        <w:rPr>
          <w:rFonts w:ascii="Times New Roman" w:eastAsia="Times New Roman" w:hAnsi="Times New Roman" w:cs="Times New Roman"/>
          <w:sz w:val="24"/>
          <w:szCs w:val="24"/>
        </w:rPr>
        <w:t xml:space="preserve">e of the virus, </w:t>
      </w:r>
      <w:r w:rsidR="002D7DE5" w:rsidRPr="009872B0">
        <w:rPr>
          <w:rFonts w:ascii="Times New Roman" w:hAnsi="Times New Roman" w:cs="Times New Roman"/>
          <w:sz w:val="24"/>
          <w:szCs w:val="24"/>
        </w:rPr>
        <w:t xml:space="preserve">the permutation feature importance PFI algorithm based on Fisher, </w:t>
      </w:r>
      <w:proofErr w:type="spellStart"/>
      <w:r w:rsidR="002D7DE5" w:rsidRPr="009872B0">
        <w:rPr>
          <w:rFonts w:ascii="Times New Roman" w:hAnsi="Times New Roman" w:cs="Times New Roman"/>
          <w:sz w:val="24"/>
          <w:szCs w:val="24"/>
        </w:rPr>
        <w:t>Rudin</w:t>
      </w:r>
      <w:proofErr w:type="spellEnd"/>
      <w:r w:rsidR="002D7DE5" w:rsidRPr="009872B0">
        <w:rPr>
          <w:rFonts w:ascii="Times New Roman" w:hAnsi="Times New Roman" w:cs="Times New Roman"/>
          <w:sz w:val="24"/>
          <w:szCs w:val="24"/>
        </w:rPr>
        <w:t xml:space="preserve">, and </w:t>
      </w:r>
      <w:proofErr w:type="spellStart"/>
      <w:r w:rsidR="002D7DE5" w:rsidRPr="009872B0">
        <w:rPr>
          <w:rFonts w:ascii="Times New Roman" w:hAnsi="Times New Roman" w:cs="Times New Roman"/>
          <w:sz w:val="24"/>
          <w:szCs w:val="24"/>
        </w:rPr>
        <w:t>Dominici</w:t>
      </w:r>
      <w:proofErr w:type="spellEnd"/>
      <w:r w:rsidR="002D7DE5" w:rsidRPr="009872B0">
        <w:rPr>
          <w:rFonts w:ascii="Times New Roman" w:hAnsi="Times New Roman" w:cs="Times New Roman"/>
          <w:sz w:val="24"/>
          <w:szCs w:val="24"/>
        </w:rPr>
        <w:t xml:space="preserve"> (2018)</w:t>
      </w:r>
      <w:r>
        <w:rPr>
          <w:rFonts w:ascii="Times New Roman" w:hAnsi="Times New Roman" w:cs="Times New Roman"/>
          <w:sz w:val="24"/>
          <w:szCs w:val="24"/>
        </w:rPr>
        <w:t xml:space="preserve"> is applied</w:t>
      </w:r>
      <w:r w:rsidR="002D7DE5" w:rsidRPr="009872B0">
        <w:rPr>
          <w:rFonts w:ascii="Times New Roman" w:hAnsi="Times New Roman" w:cs="Times New Roman"/>
          <w:sz w:val="24"/>
          <w:szCs w:val="24"/>
        </w:rPr>
        <w:t xml:space="preserve">. The algorithm works as it is shown in the following. </w:t>
      </w:r>
    </w:p>
    <w:p w:rsidR="00896D6C" w:rsidRPr="009872B0" w:rsidRDefault="002D7DE5">
      <w:pPr>
        <w:spacing w:after="0"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Input: Trained model </w:t>
      </w:r>
      <m:oMath>
        <m:acc>
          <m:accPr>
            <m:ctrlPr>
              <w:rPr>
                <w:rFonts w:ascii="Cambria Math" w:eastAsia="Times New Roman" w:hAnsi="Cambria Math" w:cs="Times New Roman"/>
                <w:i/>
                <w:sz w:val="20"/>
                <w:szCs w:val="20"/>
              </w:rPr>
            </m:ctrlPr>
          </m:accPr>
          <m:e>
            <m:r>
              <w:rPr>
                <w:rFonts w:ascii="Cambria Math" w:eastAsia="Times New Roman" w:hAnsi="Cambria Math" w:cs="Times New Roman"/>
                <w:sz w:val="20"/>
                <w:szCs w:val="20"/>
              </w:rPr>
              <m:t>f</m:t>
            </m:r>
          </m:e>
        </m:acc>
      </m:oMath>
      <w:r w:rsidRPr="009872B0">
        <w:rPr>
          <w:rFonts w:ascii="Times New Roman" w:eastAsia="Times New Roman" w:hAnsi="Times New Roman" w:cs="Times New Roman"/>
          <w:sz w:val="20"/>
          <w:szCs w:val="20"/>
        </w:rPr>
        <w:t xml:space="preserve">, feature matrix </w:t>
      </w:r>
      <w:r w:rsidRPr="009872B0">
        <w:rPr>
          <w:rFonts w:ascii="Times New Roman" w:eastAsia="Times New Roman" w:hAnsi="Times New Roman" w:cs="Times New Roman"/>
          <w:i/>
          <w:iCs/>
          <w:sz w:val="20"/>
          <w:szCs w:val="20"/>
        </w:rPr>
        <w:t>X</w:t>
      </w:r>
      <w:r w:rsidRPr="009872B0">
        <w:rPr>
          <w:rFonts w:ascii="Times New Roman" w:eastAsia="Times New Roman" w:hAnsi="Times New Roman" w:cs="Times New Roman"/>
          <w:sz w:val="20"/>
          <w:szCs w:val="20"/>
        </w:rPr>
        <w:t xml:space="preserve">, target vector </w:t>
      </w:r>
      <w:r w:rsidRPr="009872B0">
        <w:rPr>
          <w:rFonts w:ascii="Times New Roman" w:eastAsia="Times New Roman" w:hAnsi="Times New Roman" w:cs="Times New Roman"/>
          <w:i/>
          <w:iCs/>
          <w:sz w:val="20"/>
          <w:szCs w:val="20"/>
        </w:rPr>
        <w:t>y</w:t>
      </w:r>
      <w:r w:rsidRPr="009872B0">
        <w:rPr>
          <w:rFonts w:ascii="Times New Roman" w:eastAsia="Times New Roman" w:hAnsi="Times New Roman" w:cs="Times New Roman"/>
          <w:sz w:val="20"/>
          <w:szCs w:val="20"/>
        </w:rPr>
        <w:t xml:space="preserve">, error measure </w:t>
      </w:r>
      <w:r w:rsidRPr="009872B0">
        <w:rPr>
          <w:rFonts w:ascii="Times New Roman" w:eastAsia="Times New Roman" w:hAnsi="Times New Roman" w:cs="Times New Roman"/>
          <w:i/>
          <w:iCs/>
          <w:sz w:val="20"/>
          <w:szCs w:val="20"/>
        </w:rPr>
        <w:t>L(y,</w:t>
      </w:r>
      <m:oMath>
        <m:acc>
          <m:accPr>
            <m:ctrlPr>
              <w:rPr>
                <w:rFonts w:ascii="Cambria Math" w:eastAsia="Times New Roman" w:hAnsi="Cambria Math" w:cs="Times New Roman"/>
                <w:i/>
                <w:iCs/>
                <w:sz w:val="20"/>
                <w:szCs w:val="20"/>
              </w:rPr>
            </m:ctrlPr>
          </m:accPr>
          <m:e>
            <m:r>
              <w:rPr>
                <w:rFonts w:ascii="Cambria Math" w:eastAsia="Times New Roman" w:hAnsi="Cambria Math" w:cs="Times New Roman"/>
                <w:sz w:val="20"/>
                <w:szCs w:val="20"/>
              </w:rPr>
              <m:t>f</m:t>
            </m:r>
          </m:e>
        </m:acc>
      </m:oMath>
      <w:r w:rsidRPr="009872B0">
        <w:rPr>
          <w:rFonts w:ascii="Times New Roman" w:eastAsia="Times New Roman" w:hAnsi="Times New Roman" w:cs="Times New Roman"/>
          <w:i/>
          <w:iCs/>
          <w:sz w:val="20"/>
          <w:szCs w:val="20"/>
        </w:rPr>
        <w:t>)</w:t>
      </w:r>
    </w:p>
    <w:p w:rsidR="00896D6C" w:rsidRPr="009872B0" w:rsidRDefault="002D7DE5">
      <w:pPr>
        <w:pStyle w:val="ListParagraph"/>
        <w:numPr>
          <w:ilvl w:val="0"/>
          <w:numId w:val="6"/>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Estimate the original model error </w:t>
      </w:r>
      <w:proofErr w:type="spellStart"/>
      <w:r w:rsidRPr="009872B0">
        <w:rPr>
          <w:rFonts w:ascii="Times New Roman" w:eastAsia="Times New Roman" w:hAnsi="Times New Roman" w:cs="Times New Roman"/>
          <w:i/>
          <w:iCs/>
          <w:sz w:val="20"/>
          <w:szCs w:val="20"/>
        </w:rPr>
        <w:t>eorig</w:t>
      </w:r>
      <w:proofErr w:type="spellEnd"/>
      <w:r w:rsidRPr="009872B0">
        <w:rPr>
          <w:rFonts w:ascii="Times New Roman" w:eastAsia="Times New Roman" w:hAnsi="Times New Roman" w:cs="Times New Roman"/>
          <w:i/>
          <w:iCs/>
          <w:sz w:val="20"/>
          <w:szCs w:val="20"/>
        </w:rPr>
        <w:t>=L(y,</w:t>
      </w:r>
      <m:oMath>
        <m:acc>
          <m:accPr>
            <m:ctrlPr>
              <w:rPr>
                <w:rFonts w:ascii="Cambria Math" w:eastAsia="Times New Roman" w:hAnsi="Cambria Math" w:cs="Times New Roman"/>
                <w:i/>
                <w:iCs/>
                <w:sz w:val="20"/>
                <w:szCs w:val="20"/>
              </w:rPr>
            </m:ctrlPr>
          </m:accPr>
          <m:e>
            <m:r>
              <w:rPr>
                <w:rFonts w:ascii="Cambria Math" w:eastAsia="Times New Roman" w:hAnsi="Cambria Math" w:cs="Times New Roman"/>
                <w:sz w:val="20"/>
                <w:szCs w:val="20"/>
              </w:rPr>
              <m:t>f</m:t>
            </m:r>
          </m:e>
        </m:acc>
      </m:oMath>
      <w:r w:rsidRPr="009872B0">
        <w:rPr>
          <w:rFonts w:ascii="Times New Roman" w:eastAsia="Times New Roman" w:hAnsi="Times New Roman" w:cs="Times New Roman"/>
          <w:i/>
          <w:iCs/>
          <w:sz w:val="20"/>
          <w:szCs w:val="20"/>
        </w:rPr>
        <w:t>(X))</w:t>
      </w:r>
      <w:r w:rsidRPr="009872B0">
        <w:rPr>
          <w:rFonts w:ascii="Times New Roman" w:eastAsia="Times New Roman" w:hAnsi="Times New Roman" w:cs="Times New Roman"/>
          <w:sz w:val="20"/>
          <w:szCs w:val="20"/>
        </w:rPr>
        <w:t xml:space="preserve"> (e.g. mean squared error) </w:t>
      </w:r>
    </w:p>
    <w:p w:rsidR="00896D6C" w:rsidRPr="009872B0" w:rsidRDefault="002D7DE5">
      <w:pPr>
        <w:numPr>
          <w:ilvl w:val="0"/>
          <w:numId w:val="6"/>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For each feature </w:t>
      </w:r>
      <w:r w:rsidRPr="009872B0">
        <w:rPr>
          <w:rFonts w:ascii="Times New Roman" w:eastAsia="Times New Roman" w:hAnsi="Times New Roman" w:cs="Times New Roman"/>
          <w:i/>
          <w:iCs/>
          <w:sz w:val="20"/>
          <w:szCs w:val="20"/>
        </w:rPr>
        <w:t>j</w:t>
      </w:r>
      <w:r w:rsidRPr="009872B0">
        <w:rPr>
          <w:rFonts w:ascii="Cambria Math" w:eastAsia="Times New Roman" w:hAnsi="Cambria Math" w:cs="Cambria Math"/>
          <w:i/>
          <w:iCs/>
          <w:sz w:val="20"/>
          <w:szCs w:val="20"/>
        </w:rPr>
        <w:t>∈</w:t>
      </w:r>
      <w:r w:rsidRPr="009872B0">
        <w:rPr>
          <w:rFonts w:ascii="Times New Roman" w:eastAsia="Times New Roman" w:hAnsi="Times New Roman" w:cs="Times New Roman"/>
          <w:i/>
          <w:iCs/>
          <w:sz w:val="20"/>
          <w:szCs w:val="20"/>
        </w:rPr>
        <w:t>{</w:t>
      </w:r>
      <w:proofErr w:type="gramStart"/>
      <w:r w:rsidRPr="009872B0">
        <w:rPr>
          <w:rFonts w:ascii="Times New Roman" w:eastAsia="Times New Roman" w:hAnsi="Times New Roman" w:cs="Times New Roman"/>
          <w:i/>
          <w:iCs/>
          <w:sz w:val="20"/>
          <w:szCs w:val="20"/>
        </w:rPr>
        <w:t>1,...</w:t>
      </w:r>
      <w:proofErr w:type="gramEnd"/>
      <w:r w:rsidRPr="009872B0">
        <w:rPr>
          <w:rFonts w:ascii="Times New Roman" w:eastAsia="Times New Roman" w:hAnsi="Times New Roman" w:cs="Times New Roman"/>
          <w:i/>
          <w:iCs/>
          <w:sz w:val="20"/>
          <w:szCs w:val="20"/>
        </w:rPr>
        <w:t>,p}</w:t>
      </w:r>
      <w:r w:rsidRPr="009872B0">
        <w:rPr>
          <w:rFonts w:ascii="Times New Roman" w:eastAsia="Times New Roman" w:hAnsi="Times New Roman" w:cs="Times New Roman"/>
          <w:sz w:val="20"/>
          <w:szCs w:val="20"/>
        </w:rPr>
        <w:t xml:space="preserve"> do: </w:t>
      </w:r>
    </w:p>
    <w:p w:rsidR="00896D6C" w:rsidRPr="009872B0" w:rsidRDefault="002D7DE5">
      <w:pPr>
        <w:numPr>
          <w:ilvl w:val="2"/>
          <w:numId w:val="10"/>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Generate feature matrix </w:t>
      </w:r>
      <w:proofErr w:type="spellStart"/>
      <w:r w:rsidRPr="009872B0">
        <w:rPr>
          <w:rFonts w:ascii="Times New Roman" w:eastAsia="Times New Roman" w:hAnsi="Times New Roman" w:cs="Times New Roman"/>
          <w:i/>
          <w:iCs/>
          <w:sz w:val="20"/>
          <w:szCs w:val="20"/>
        </w:rPr>
        <w:t>Xperm</w:t>
      </w:r>
      <w:proofErr w:type="spellEnd"/>
      <w:r w:rsidRPr="009872B0">
        <w:rPr>
          <w:rFonts w:ascii="Times New Roman" w:eastAsia="Times New Roman" w:hAnsi="Times New Roman" w:cs="Times New Roman"/>
          <w:sz w:val="20"/>
          <w:szCs w:val="20"/>
        </w:rPr>
        <w:t xml:space="preserve"> by permuting feature </w:t>
      </w:r>
      <w:r w:rsidRPr="009872B0">
        <w:rPr>
          <w:rFonts w:ascii="Times New Roman" w:eastAsia="Times New Roman" w:hAnsi="Times New Roman" w:cs="Times New Roman"/>
          <w:i/>
          <w:iCs/>
          <w:sz w:val="20"/>
          <w:szCs w:val="20"/>
        </w:rPr>
        <w:t>j</w:t>
      </w:r>
      <w:r w:rsidRPr="009872B0">
        <w:rPr>
          <w:rFonts w:ascii="Times New Roman" w:eastAsia="Times New Roman" w:hAnsi="Times New Roman" w:cs="Times New Roman"/>
          <w:sz w:val="20"/>
          <w:szCs w:val="20"/>
        </w:rPr>
        <w:t xml:space="preserve"> in the data </w:t>
      </w:r>
      <w:r w:rsidRPr="009872B0">
        <w:rPr>
          <w:rFonts w:ascii="Times New Roman" w:eastAsia="Times New Roman" w:hAnsi="Times New Roman" w:cs="Times New Roman"/>
          <w:i/>
          <w:iCs/>
          <w:sz w:val="20"/>
          <w:szCs w:val="20"/>
        </w:rPr>
        <w:t>X</w:t>
      </w:r>
      <w:r w:rsidRPr="009872B0">
        <w:rPr>
          <w:rFonts w:ascii="Times New Roman" w:eastAsia="Times New Roman" w:hAnsi="Times New Roman" w:cs="Times New Roman"/>
          <w:sz w:val="20"/>
          <w:szCs w:val="20"/>
        </w:rPr>
        <w:t xml:space="preserve">. This breaks the association between feature </w:t>
      </w:r>
      <w:r w:rsidRPr="009872B0">
        <w:rPr>
          <w:rFonts w:ascii="Times New Roman" w:eastAsia="Times New Roman" w:hAnsi="Times New Roman" w:cs="Times New Roman"/>
          <w:i/>
          <w:iCs/>
          <w:sz w:val="20"/>
          <w:szCs w:val="20"/>
        </w:rPr>
        <w:t>j</w:t>
      </w:r>
      <w:r w:rsidRPr="009872B0">
        <w:rPr>
          <w:rFonts w:ascii="Times New Roman" w:eastAsia="Times New Roman" w:hAnsi="Times New Roman" w:cs="Times New Roman"/>
          <w:sz w:val="20"/>
          <w:szCs w:val="20"/>
        </w:rPr>
        <w:t xml:space="preserve"> and true outcome </w:t>
      </w:r>
      <w:r w:rsidRPr="009872B0">
        <w:rPr>
          <w:rFonts w:ascii="Times New Roman" w:eastAsia="Times New Roman" w:hAnsi="Times New Roman" w:cs="Times New Roman"/>
          <w:i/>
          <w:iCs/>
          <w:sz w:val="20"/>
          <w:szCs w:val="20"/>
        </w:rPr>
        <w:t>y</w:t>
      </w:r>
      <w:r w:rsidRPr="009872B0">
        <w:rPr>
          <w:rFonts w:ascii="Times New Roman" w:eastAsia="Times New Roman" w:hAnsi="Times New Roman" w:cs="Times New Roman"/>
          <w:sz w:val="20"/>
          <w:szCs w:val="20"/>
        </w:rPr>
        <w:t xml:space="preserve">. </w:t>
      </w:r>
    </w:p>
    <w:p w:rsidR="00896D6C" w:rsidRPr="009872B0" w:rsidRDefault="002D7DE5">
      <w:pPr>
        <w:numPr>
          <w:ilvl w:val="2"/>
          <w:numId w:val="10"/>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Estimate error </w:t>
      </w:r>
      <w:proofErr w:type="spellStart"/>
      <w:r w:rsidRPr="009872B0">
        <w:rPr>
          <w:rFonts w:ascii="Times New Roman" w:eastAsia="Times New Roman" w:hAnsi="Times New Roman" w:cs="Times New Roman"/>
          <w:i/>
          <w:iCs/>
          <w:sz w:val="20"/>
          <w:szCs w:val="20"/>
        </w:rPr>
        <w:t>eperm</w:t>
      </w:r>
      <w:proofErr w:type="spellEnd"/>
      <w:r w:rsidRPr="009872B0">
        <w:rPr>
          <w:rFonts w:ascii="Times New Roman" w:eastAsia="Times New Roman" w:hAnsi="Times New Roman" w:cs="Times New Roman"/>
          <w:i/>
          <w:iCs/>
          <w:sz w:val="20"/>
          <w:szCs w:val="20"/>
        </w:rPr>
        <w:t>=L(Y,</w:t>
      </w:r>
      <m:oMath>
        <m:acc>
          <m:accPr>
            <m:ctrlPr>
              <w:rPr>
                <w:rFonts w:ascii="Cambria Math" w:eastAsia="Times New Roman" w:hAnsi="Cambria Math" w:cs="Times New Roman"/>
                <w:i/>
                <w:iCs/>
                <w:sz w:val="20"/>
                <w:szCs w:val="20"/>
              </w:rPr>
            </m:ctrlPr>
          </m:accPr>
          <m:e>
            <m:r>
              <w:rPr>
                <w:rFonts w:ascii="Cambria Math" w:eastAsia="Times New Roman" w:hAnsi="Cambria Math" w:cs="Times New Roman"/>
                <w:sz w:val="20"/>
                <w:szCs w:val="20"/>
              </w:rPr>
              <m:t>f</m:t>
            </m:r>
          </m:e>
        </m:acc>
      </m:oMath>
      <w:r w:rsidRPr="009872B0">
        <w:rPr>
          <w:rFonts w:ascii="Times New Roman" w:eastAsia="Times New Roman" w:hAnsi="Times New Roman" w:cs="Times New Roman"/>
          <w:i/>
          <w:iCs/>
          <w:sz w:val="20"/>
          <w:szCs w:val="20"/>
        </w:rPr>
        <w:t>(Xperm))</w:t>
      </w:r>
      <w:r w:rsidRPr="009872B0">
        <w:rPr>
          <w:rFonts w:ascii="Times New Roman" w:eastAsia="Times New Roman" w:hAnsi="Times New Roman" w:cs="Times New Roman"/>
          <w:sz w:val="20"/>
          <w:szCs w:val="20"/>
        </w:rPr>
        <w:t xml:space="preserve"> based on the predictions of the permuted data. </w:t>
      </w:r>
    </w:p>
    <w:p w:rsidR="00896D6C" w:rsidRPr="009872B0" w:rsidRDefault="002D7DE5">
      <w:pPr>
        <w:numPr>
          <w:ilvl w:val="2"/>
          <w:numId w:val="10"/>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Calculate permutation feature importance as quotient </w:t>
      </w:r>
      <w:proofErr w:type="spellStart"/>
      <w:r w:rsidRPr="009872B0">
        <w:rPr>
          <w:rFonts w:ascii="Times New Roman" w:eastAsia="Times New Roman" w:hAnsi="Times New Roman" w:cs="Times New Roman"/>
          <w:i/>
          <w:iCs/>
          <w:sz w:val="20"/>
          <w:szCs w:val="20"/>
        </w:rPr>
        <w:t>FIj</w:t>
      </w:r>
      <w:proofErr w:type="spellEnd"/>
      <w:r w:rsidRPr="009872B0">
        <w:rPr>
          <w:rFonts w:ascii="Times New Roman" w:eastAsia="Times New Roman" w:hAnsi="Times New Roman" w:cs="Times New Roman"/>
          <w:i/>
          <w:iCs/>
          <w:sz w:val="20"/>
          <w:szCs w:val="20"/>
        </w:rPr>
        <w:t>=</w:t>
      </w:r>
      <w:proofErr w:type="spellStart"/>
      <w:r w:rsidRPr="009872B0">
        <w:rPr>
          <w:rFonts w:ascii="Times New Roman" w:eastAsia="Times New Roman" w:hAnsi="Times New Roman" w:cs="Times New Roman"/>
          <w:i/>
          <w:iCs/>
          <w:sz w:val="20"/>
          <w:szCs w:val="20"/>
        </w:rPr>
        <w:t>eperm</w:t>
      </w:r>
      <w:proofErr w:type="spellEnd"/>
      <w:r w:rsidRPr="009872B0">
        <w:rPr>
          <w:rFonts w:ascii="Times New Roman" w:eastAsia="Times New Roman" w:hAnsi="Times New Roman" w:cs="Times New Roman"/>
          <w:i/>
          <w:iCs/>
          <w:sz w:val="20"/>
          <w:szCs w:val="20"/>
        </w:rPr>
        <w:t>/</w:t>
      </w:r>
      <w:proofErr w:type="spellStart"/>
      <w:r w:rsidRPr="009872B0">
        <w:rPr>
          <w:rFonts w:ascii="Times New Roman" w:eastAsia="Times New Roman" w:hAnsi="Times New Roman" w:cs="Times New Roman"/>
          <w:i/>
          <w:iCs/>
          <w:sz w:val="20"/>
          <w:szCs w:val="20"/>
        </w:rPr>
        <w:t>eorig</w:t>
      </w:r>
      <w:proofErr w:type="spellEnd"/>
      <w:r w:rsidRPr="009872B0">
        <w:rPr>
          <w:rFonts w:ascii="Times New Roman" w:eastAsia="Times New Roman" w:hAnsi="Times New Roman" w:cs="Times New Roman"/>
          <w:sz w:val="20"/>
          <w:szCs w:val="20"/>
        </w:rPr>
        <w:t xml:space="preserve"> or difference </w:t>
      </w:r>
      <w:proofErr w:type="spellStart"/>
      <w:r w:rsidRPr="009872B0">
        <w:rPr>
          <w:rFonts w:ascii="Times New Roman" w:eastAsia="Times New Roman" w:hAnsi="Times New Roman" w:cs="Times New Roman"/>
          <w:i/>
          <w:iCs/>
          <w:sz w:val="20"/>
          <w:szCs w:val="20"/>
        </w:rPr>
        <w:t>FIj</w:t>
      </w:r>
      <w:proofErr w:type="spellEnd"/>
      <w:r w:rsidRPr="009872B0">
        <w:rPr>
          <w:rFonts w:ascii="Times New Roman" w:eastAsia="Times New Roman" w:hAnsi="Times New Roman" w:cs="Times New Roman"/>
          <w:i/>
          <w:iCs/>
          <w:sz w:val="20"/>
          <w:szCs w:val="20"/>
        </w:rPr>
        <w:t>=</w:t>
      </w:r>
      <w:proofErr w:type="spellStart"/>
      <w:r w:rsidRPr="009872B0">
        <w:rPr>
          <w:rFonts w:ascii="Times New Roman" w:eastAsia="Times New Roman" w:hAnsi="Times New Roman" w:cs="Times New Roman"/>
          <w:i/>
          <w:iCs/>
          <w:sz w:val="20"/>
          <w:szCs w:val="20"/>
        </w:rPr>
        <w:t>eperm−eorig</w:t>
      </w:r>
      <w:proofErr w:type="spellEnd"/>
    </w:p>
    <w:p w:rsidR="00896D6C" w:rsidRPr="009872B0" w:rsidRDefault="002D7DE5">
      <w:pPr>
        <w:pStyle w:val="ListParagraph"/>
        <w:numPr>
          <w:ilvl w:val="0"/>
          <w:numId w:val="6"/>
        </w:numPr>
        <w:spacing w:beforeAutospacing="1" w:after="100" w:afterAutospacing="1" w:line="240" w:lineRule="auto"/>
        <w:rPr>
          <w:rFonts w:ascii="Times New Roman" w:eastAsia="Times New Roman" w:hAnsi="Times New Roman" w:cs="Times New Roman"/>
          <w:sz w:val="20"/>
          <w:szCs w:val="20"/>
        </w:rPr>
      </w:pPr>
      <w:r w:rsidRPr="009872B0">
        <w:rPr>
          <w:rFonts w:ascii="Times New Roman" w:eastAsia="Times New Roman" w:hAnsi="Times New Roman" w:cs="Times New Roman"/>
          <w:sz w:val="20"/>
          <w:szCs w:val="20"/>
        </w:rPr>
        <w:t xml:space="preserve">Sort features by descending </w:t>
      </w:r>
      <w:r w:rsidRPr="009872B0">
        <w:rPr>
          <w:rFonts w:ascii="Times New Roman" w:eastAsia="Times New Roman" w:hAnsi="Times New Roman" w:cs="Times New Roman"/>
          <w:i/>
          <w:iCs/>
          <w:sz w:val="20"/>
          <w:szCs w:val="20"/>
        </w:rPr>
        <w:t>FI</w:t>
      </w:r>
      <w:r w:rsidRPr="009872B0">
        <w:rPr>
          <w:rFonts w:ascii="Times New Roman" w:eastAsia="Times New Roman" w:hAnsi="Times New Roman" w:cs="Times New Roman"/>
          <w:sz w:val="20"/>
          <w:szCs w:val="20"/>
        </w:rPr>
        <w:t>.</w:t>
      </w:r>
    </w:p>
    <w:p w:rsidR="00896D6C" w:rsidRPr="009872B0" w:rsidRDefault="002D7DE5" w:rsidP="008A4D19">
      <w:pPr>
        <w:spacing w:before="100" w:beforeAutospacing="1" w:after="100" w:afterAutospacing="1" w:line="360" w:lineRule="auto"/>
        <w:jc w:val="both"/>
        <w:rPr>
          <w:rFonts w:ascii="Times New Roman" w:eastAsia="Times New Roman" w:hAnsi="Times New Roman" w:cs="Times New Roman"/>
          <w:sz w:val="24"/>
          <w:szCs w:val="24"/>
        </w:rPr>
      </w:pPr>
      <w:r w:rsidRPr="009872B0">
        <w:rPr>
          <w:rFonts w:ascii="Times New Roman" w:eastAsia="Times New Roman" w:hAnsi="Times New Roman" w:cs="Times New Roman"/>
          <w:sz w:val="24"/>
          <w:szCs w:val="24"/>
        </w:rPr>
        <w:lastRenderedPageBreak/>
        <w:t xml:space="preserve">Thereby, </w:t>
      </w:r>
      <w:r w:rsidR="008A4D19">
        <w:rPr>
          <w:rFonts w:ascii="Times New Roman" w:eastAsia="Times New Roman" w:hAnsi="Times New Roman" w:cs="Times New Roman"/>
          <w:sz w:val="24"/>
          <w:szCs w:val="24"/>
        </w:rPr>
        <w:t>one</w:t>
      </w:r>
      <w:r w:rsidRPr="009872B0">
        <w:rPr>
          <w:rFonts w:ascii="Times New Roman" w:eastAsia="Times New Roman" w:hAnsi="Times New Roman" w:cs="Times New Roman"/>
          <w:sz w:val="24"/>
          <w:szCs w:val="24"/>
        </w:rPr>
        <w:t xml:space="preserve"> can estimate the significance of each input feature (explanatory variable) by calculating the increase in the model’s initial prediction error (step 1) after permuting</w:t>
      </w:r>
      <w:r w:rsidR="008A4D19">
        <w:rPr>
          <w:rFonts w:ascii="Times New Roman" w:eastAsia="Times New Roman" w:hAnsi="Times New Roman" w:cs="Times New Roman"/>
          <w:sz w:val="24"/>
          <w:szCs w:val="24"/>
        </w:rPr>
        <w:t xml:space="preserve"> (shuffling)</w:t>
      </w:r>
      <w:r w:rsidRPr="009872B0">
        <w:rPr>
          <w:rFonts w:ascii="Times New Roman" w:eastAsia="Times New Roman" w:hAnsi="Times New Roman" w:cs="Times New Roman"/>
          <w:sz w:val="24"/>
          <w:szCs w:val="24"/>
        </w:rPr>
        <w:t xml:space="preserve"> that feature within all rows of a selected set of data (hereby random 25% of the entire dataset). Due to the incorporated uncertainty in the predicted outputs of our </w:t>
      </w:r>
      <w:r w:rsidRPr="009872B0">
        <w:rPr>
          <w:rFonts w:ascii="Times New Roman" w:hAnsi="Times New Roman" w:cs="Times New Roman"/>
          <w:sz w:val="24"/>
          <w:szCs w:val="24"/>
        </w:rPr>
        <w:t>BCNN</w:t>
      </w:r>
      <w:r w:rsidRPr="009872B0">
        <w:rPr>
          <w:rFonts w:ascii="Times New Roman" w:eastAsia="Times New Roman" w:hAnsi="Times New Roman" w:cs="Times New Roman"/>
          <w:sz w:val="24"/>
          <w:szCs w:val="24"/>
        </w:rPr>
        <w:t xml:space="preserve"> model, the second step (step 2) of the above algorithm is indeed a 100 times repetition of it and the estimated error is equal to the mean value of 100 resulted root mean squared errors (alike to computing the mean values of upper panels in figure 2). We then demonstrate the estimated errors analogous to 1.1.2. step of the algorithm in figure 3. We skip the step 1.1.3.</w:t>
      </w:r>
    </w:p>
    <w:p w:rsidR="00896D6C" w:rsidRPr="009872B0" w:rsidRDefault="002D7DE5" w:rsidP="008A4D19">
      <w:pPr>
        <w:spacing w:before="100" w:beforeAutospacing="1" w:after="100" w:afterAutospacing="1" w:line="360" w:lineRule="auto"/>
        <w:jc w:val="both"/>
        <w:rPr>
          <w:rFonts w:ascii="Times New Roman" w:eastAsia="Times New Roman" w:hAnsi="Times New Roman" w:cs="Times New Roman"/>
          <w:sz w:val="24"/>
          <w:szCs w:val="24"/>
        </w:rPr>
      </w:pPr>
      <w:r w:rsidRPr="009872B0">
        <w:rPr>
          <w:rFonts w:ascii="Times New Roman" w:eastAsia="Times New Roman" w:hAnsi="Times New Roman" w:cs="Times New Roman"/>
          <w:sz w:val="24"/>
          <w:szCs w:val="24"/>
        </w:rPr>
        <w:t xml:space="preserve">Due to the high length of the feature numbers, the resulted </w:t>
      </w:r>
      <w:proofErr w:type="spellStart"/>
      <w:r w:rsidRPr="009872B0">
        <w:rPr>
          <w:rFonts w:ascii="Times New Roman" w:eastAsia="Times New Roman" w:hAnsi="Times New Roman" w:cs="Times New Roman"/>
          <w:i/>
          <w:iCs/>
          <w:sz w:val="24"/>
          <w:szCs w:val="24"/>
        </w:rPr>
        <w:t>eperm</w:t>
      </w:r>
      <w:proofErr w:type="spellEnd"/>
      <w:r w:rsidRPr="009872B0">
        <w:rPr>
          <w:rFonts w:ascii="Times New Roman" w:eastAsia="Times New Roman" w:hAnsi="Times New Roman" w:cs="Times New Roman"/>
          <w:sz w:val="24"/>
          <w:szCs w:val="24"/>
        </w:rPr>
        <w:t xml:space="preserve"> errors terms in figure 3 are presented in two side by side panel. The right panel is indeed the continuation of the left hand side one. Hence, the features at the button of the left hand side panel can be interpreted as the ones with less PFI values and the features at the top levels of the right hand side panel can be interpreted as the ones with the largest PFI values. </w:t>
      </w:r>
      <w:r w:rsidR="008A4D19">
        <w:rPr>
          <w:rFonts w:ascii="Times New Roman" w:eastAsia="Times New Roman" w:hAnsi="Times New Roman" w:cs="Times New Roman"/>
          <w:sz w:val="24"/>
          <w:szCs w:val="24"/>
        </w:rPr>
        <w:t>T</w:t>
      </w:r>
      <w:r w:rsidRPr="009872B0">
        <w:rPr>
          <w:rFonts w:ascii="Times New Roman" w:eastAsia="Times New Roman" w:hAnsi="Times New Roman" w:cs="Times New Roman"/>
          <w:sz w:val="24"/>
          <w:szCs w:val="24"/>
        </w:rPr>
        <w:t xml:space="preserve">he </w:t>
      </w:r>
      <w:r w:rsidRPr="009872B0">
        <w:rPr>
          <w:rFonts w:ascii="Times New Roman" w:eastAsia="Times New Roman" w:hAnsi="Times New Roman" w:cs="Times New Roman"/>
          <w:i/>
          <w:iCs/>
          <w:sz w:val="24"/>
          <w:szCs w:val="24"/>
        </w:rPr>
        <w:t>Base line</w:t>
      </w:r>
      <w:r w:rsidRPr="009872B0">
        <w:rPr>
          <w:rFonts w:ascii="Times New Roman" w:eastAsia="Times New Roman" w:hAnsi="Times New Roman" w:cs="Times New Roman"/>
          <w:sz w:val="24"/>
          <w:szCs w:val="24"/>
        </w:rPr>
        <w:t xml:space="preserve">, which represents the original model error </w:t>
      </w:r>
      <w:proofErr w:type="spellStart"/>
      <w:r w:rsidRPr="009872B0">
        <w:rPr>
          <w:rFonts w:ascii="Times New Roman" w:eastAsia="Times New Roman" w:hAnsi="Times New Roman" w:cs="Times New Roman"/>
          <w:i/>
          <w:iCs/>
          <w:sz w:val="24"/>
          <w:szCs w:val="24"/>
        </w:rPr>
        <w:t>eorig</w:t>
      </w:r>
      <w:proofErr w:type="spellEnd"/>
      <w:r w:rsidRPr="009872B0">
        <w:rPr>
          <w:rFonts w:ascii="Times New Roman" w:eastAsia="Times New Roman" w:hAnsi="Times New Roman" w:cs="Times New Roman"/>
          <w:sz w:val="24"/>
          <w:szCs w:val="24"/>
        </w:rPr>
        <w:t xml:space="preserve"> lays around the button of the left hand side panel between some not well known virus variants i.e. </w:t>
      </w:r>
      <w:r w:rsidRPr="009872B0">
        <w:rPr>
          <w:rFonts w:ascii="Times New Roman" w:eastAsia="Times New Roman" w:hAnsi="Times New Roman" w:cs="Times New Roman"/>
          <w:i/>
          <w:iCs/>
          <w:sz w:val="24"/>
          <w:szCs w:val="24"/>
        </w:rPr>
        <w:t>BA.2+L452X</w:t>
      </w:r>
      <w:r w:rsidRPr="009872B0">
        <w:rPr>
          <w:rFonts w:ascii="Times New Roman" w:eastAsia="Times New Roman" w:hAnsi="Times New Roman" w:cs="Times New Roman"/>
          <w:sz w:val="24"/>
          <w:szCs w:val="24"/>
        </w:rPr>
        <w:t xml:space="preserve"> and </w:t>
      </w:r>
      <w:r w:rsidRPr="009872B0">
        <w:rPr>
          <w:rFonts w:ascii="Times New Roman" w:eastAsia="Times New Roman" w:hAnsi="Times New Roman" w:cs="Times New Roman"/>
          <w:i/>
          <w:iCs/>
          <w:sz w:val="24"/>
          <w:szCs w:val="24"/>
        </w:rPr>
        <w:t>BA.4/BA.5</w:t>
      </w:r>
      <w:r w:rsidRPr="009872B0">
        <w:rPr>
          <w:rFonts w:ascii="Times New Roman" w:eastAsia="Times New Roman" w:hAnsi="Times New Roman" w:cs="Times New Roman"/>
          <w:sz w:val="24"/>
          <w:szCs w:val="24"/>
        </w:rPr>
        <w:t xml:space="preserve">. It might be also reasonable that features </w:t>
      </w:r>
      <w:r w:rsidRPr="009872B0">
        <w:rPr>
          <w:rFonts w:ascii="Times New Roman" w:eastAsia="Times New Roman" w:hAnsi="Times New Roman" w:cs="Times New Roman"/>
          <w:i/>
          <w:iCs/>
          <w:sz w:val="24"/>
          <w:szCs w:val="24"/>
        </w:rPr>
        <w:t>vaccine_3</w:t>
      </w:r>
      <w:r w:rsidRPr="009872B0">
        <w:rPr>
          <w:rFonts w:ascii="Times New Roman" w:eastAsia="Times New Roman" w:hAnsi="Times New Roman" w:cs="Times New Roman"/>
          <w:sz w:val="24"/>
          <w:szCs w:val="24"/>
        </w:rPr>
        <w:t xml:space="preserve"> and </w:t>
      </w:r>
      <w:r w:rsidRPr="009872B0">
        <w:rPr>
          <w:rFonts w:ascii="Times New Roman" w:eastAsia="Times New Roman" w:hAnsi="Times New Roman" w:cs="Times New Roman"/>
          <w:i/>
          <w:iCs/>
          <w:sz w:val="24"/>
          <w:szCs w:val="24"/>
        </w:rPr>
        <w:t>vaccine_4</w:t>
      </w:r>
      <w:r w:rsidRPr="009872B0">
        <w:rPr>
          <w:rFonts w:ascii="Times New Roman" w:eastAsia="Times New Roman" w:hAnsi="Times New Roman" w:cs="Times New Roman"/>
          <w:sz w:val="24"/>
          <w:szCs w:val="24"/>
        </w:rPr>
        <w:t xml:space="preserve"> representing the fourth and the fifth doses of the mass vaccination policy stay also around in the area of non-importance. By looking at the opposite corner side of the figure 3 one can see the features </w:t>
      </w:r>
      <w:r w:rsidRPr="009872B0">
        <w:rPr>
          <w:rFonts w:ascii="Times New Roman" w:eastAsia="Times New Roman" w:hAnsi="Times New Roman" w:cs="Times New Roman"/>
          <w:i/>
          <w:iCs/>
          <w:sz w:val="24"/>
          <w:szCs w:val="24"/>
        </w:rPr>
        <w:t>country</w:t>
      </w:r>
      <w:r w:rsidRPr="009872B0">
        <w:rPr>
          <w:rFonts w:ascii="Times New Roman" w:eastAsia="Times New Roman" w:hAnsi="Times New Roman" w:cs="Times New Roman"/>
          <w:sz w:val="24"/>
          <w:szCs w:val="24"/>
        </w:rPr>
        <w:t xml:space="preserve"> and </w:t>
      </w:r>
      <w:r w:rsidRPr="009872B0">
        <w:rPr>
          <w:rFonts w:ascii="Times New Roman" w:eastAsia="Times New Roman" w:hAnsi="Times New Roman" w:cs="Times New Roman"/>
          <w:i/>
          <w:iCs/>
          <w:sz w:val="24"/>
          <w:szCs w:val="24"/>
        </w:rPr>
        <w:t>month</w:t>
      </w:r>
      <w:r w:rsidRPr="009872B0">
        <w:rPr>
          <w:rFonts w:ascii="Times New Roman" w:eastAsia="Times New Roman" w:hAnsi="Times New Roman" w:cs="Times New Roman"/>
          <w:sz w:val="24"/>
          <w:szCs w:val="24"/>
        </w:rPr>
        <w:t xml:space="preserve"> at the top level of influential factors on the predictions of the model. The feature </w:t>
      </w:r>
      <w:r w:rsidRPr="009872B0">
        <w:rPr>
          <w:rFonts w:ascii="Times New Roman" w:eastAsia="Times New Roman" w:hAnsi="Times New Roman" w:cs="Times New Roman"/>
          <w:i/>
          <w:iCs/>
          <w:sz w:val="24"/>
          <w:szCs w:val="24"/>
        </w:rPr>
        <w:t>country</w:t>
      </w:r>
      <w:r w:rsidRPr="009872B0">
        <w:rPr>
          <w:rFonts w:ascii="Times New Roman" w:eastAsia="Times New Roman" w:hAnsi="Times New Roman" w:cs="Times New Roman"/>
          <w:sz w:val="24"/>
          <w:szCs w:val="24"/>
        </w:rPr>
        <w:t xml:space="preserve"> being that important is intuitive. This is because all features values of the entire data set can be theoretically swapped between arbitrary rows with the exception of the feature </w:t>
      </w:r>
      <w:r w:rsidRPr="009872B0">
        <w:rPr>
          <w:rFonts w:ascii="Times New Roman" w:eastAsia="Times New Roman" w:hAnsi="Times New Roman" w:cs="Times New Roman"/>
          <w:i/>
          <w:iCs/>
          <w:sz w:val="24"/>
          <w:szCs w:val="24"/>
        </w:rPr>
        <w:t>country</w:t>
      </w:r>
      <w:r w:rsidRPr="009872B0">
        <w:rPr>
          <w:rFonts w:ascii="Times New Roman" w:eastAsia="Times New Roman" w:hAnsi="Times New Roman" w:cs="Times New Roman"/>
          <w:sz w:val="24"/>
          <w:szCs w:val="24"/>
        </w:rPr>
        <w:t xml:space="preserve">, which is a unique key for the data just corresponded to that country and has remained on its place during the training of the model. However, seeing the factor </w:t>
      </w:r>
      <w:r w:rsidRPr="009872B0">
        <w:rPr>
          <w:rFonts w:ascii="Times New Roman" w:eastAsia="Times New Roman" w:hAnsi="Times New Roman" w:cs="Times New Roman"/>
          <w:i/>
          <w:iCs/>
          <w:sz w:val="24"/>
          <w:szCs w:val="24"/>
        </w:rPr>
        <w:t>month</w:t>
      </w:r>
      <w:r w:rsidRPr="009872B0">
        <w:rPr>
          <w:rFonts w:ascii="Times New Roman" w:eastAsia="Times New Roman" w:hAnsi="Times New Roman" w:cs="Times New Roman"/>
          <w:sz w:val="24"/>
          <w:szCs w:val="24"/>
        </w:rPr>
        <w:t xml:space="preserve">, which is quiet well elaborated during the training procedure of the BCNN model on the top of all other explanatory features is interesting. In other words, changing the months and consequently seasons has been much more influential on the dynamics of the </w:t>
      </w:r>
      <w:r w:rsidRPr="009872B0">
        <w:rPr>
          <w:rFonts w:ascii="Times New Roman" w:hAnsi="Times New Roman" w:cs="Times New Roman"/>
          <w:sz w:val="24"/>
          <w:szCs w:val="24"/>
        </w:rPr>
        <w:t>SARS-CoV-2</w:t>
      </w:r>
      <w:r w:rsidRPr="009872B0">
        <w:rPr>
          <w:rFonts w:ascii="Times New Roman" w:eastAsia="Times New Roman" w:hAnsi="Times New Roman" w:cs="Times New Roman"/>
          <w:sz w:val="24"/>
          <w:szCs w:val="24"/>
        </w:rPr>
        <w:t xml:space="preserve"> pandemic rather than the governments NPIs and vaccination strategies as well as emergence of virus mutants. We will take a further look at the parameter </w:t>
      </w:r>
      <w:r w:rsidRPr="009872B0">
        <w:rPr>
          <w:rFonts w:ascii="Times New Roman" w:eastAsia="Times New Roman" w:hAnsi="Times New Roman" w:cs="Times New Roman"/>
          <w:i/>
          <w:iCs/>
          <w:sz w:val="24"/>
          <w:szCs w:val="24"/>
        </w:rPr>
        <w:t>month</w:t>
      </w:r>
      <w:r w:rsidRPr="009872B0">
        <w:rPr>
          <w:rFonts w:ascii="Times New Roman" w:eastAsia="Times New Roman" w:hAnsi="Times New Roman" w:cs="Times New Roman"/>
          <w:sz w:val="24"/>
          <w:szCs w:val="24"/>
        </w:rPr>
        <w:t xml:space="preserve"> in section 4.4. </w:t>
      </w:r>
    </w:p>
    <w:p w:rsidR="00896D6C" w:rsidRPr="009872B0" w:rsidRDefault="002D7DE5">
      <w:pPr>
        <w:spacing w:before="100" w:beforeAutospacing="1" w:after="100" w:afterAutospacing="1" w:line="360" w:lineRule="auto"/>
        <w:jc w:val="both"/>
        <w:rPr>
          <w:rFonts w:ascii="Times New Roman" w:eastAsia="Times New Roman" w:hAnsi="Times New Roman" w:cs="Times New Roman"/>
          <w:sz w:val="24"/>
          <w:szCs w:val="24"/>
        </w:rPr>
      </w:pPr>
      <w:r w:rsidRPr="009872B0">
        <w:rPr>
          <w:rFonts w:ascii="Times New Roman" w:eastAsia="Times New Roman" w:hAnsi="Times New Roman" w:cs="Times New Roman"/>
          <w:sz w:val="24"/>
          <w:szCs w:val="24"/>
        </w:rPr>
        <w:t xml:space="preserve">It is furthermore remarkable that the three well-known variants of the virus i.e. </w:t>
      </w:r>
      <w:r w:rsidRPr="009872B0">
        <w:rPr>
          <w:rFonts w:ascii="Times New Roman" w:hAnsi="Times New Roman" w:cs="Times New Roman"/>
          <w:i/>
          <w:iCs/>
          <w:sz w:val="24"/>
          <w:szCs w:val="24"/>
        </w:rPr>
        <w:t>B.1.1.7(Coronavirus Alpha variant)</w:t>
      </w:r>
      <w:r w:rsidRPr="009872B0">
        <w:rPr>
          <w:rFonts w:ascii="Times New Roman" w:hAnsi="Times New Roman" w:cs="Times New Roman"/>
          <w:sz w:val="24"/>
          <w:szCs w:val="24"/>
        </w:rPr>
        <w:t xml:space="preserve">, </w:t>
      </w:r>
      <w:r w:rsidRPr="009872B0">
        <w:rPr>
          <w:rFonts w:ascii="Times New Roman" w:hAnsi="Times New Roman" w:cs="Times New Roman"/>
          <w:i/>
          <w:iCs/>
          <w:sz w:val="24"/>
          <w:szCs w:val="24"/>
        </w:rPr>
        <w:t>B.1.617.2 (Coronavirus Delta variant)</w:t>
      </w:r>
      <w:r w:rsidRPr="009872B0">
        <w:rPr>
          <w:rFonts w:ascii="Times New Roman" w:hAnsi="Times New Roman" w:cs="Times New Roman"/>
          <w:sz w:val="24"/>
          <w:szCs w:val="24"/>
        </w:rPr>
        <w:t xml:space="preserve"> and </w:t>
      </w:r>
      <w:r w:rsidRPr="009872B0">
        <w:rPr>
          <w:rFonts w:ascii="Times New Roman" w:hAnsi="Times New Roman" w:cs="Times New Roman"/>
          <w:i/>
          <w:iCs/>
          <w:sz w:val="24"/>
          <w:szCs w:val="24"/>
        </w:rPr>
        <w:t>BA.2 (Coronavirus Omicron variant)</w:t>
      </w:r>
      <w:r w:rsidRPr="009872B0">
        <w:rPr>
          <w:rFonts w:ascii="Times New Roman" w:hAnsi="Times New Roman" w:cs="Times New Roman"/>
          <w:sz w:val="24"/>
          <w:szCs w:val="24"/>
        </w:rPr>
        <w:t xml:space="preserve"> have played seemingly a major role on driving the dynamics of </w:t>
      </w:r>
      <w:r w:rsidRPr="009872B0">
        <w:rPr>
          <w:rFonts w:ascii="Times New Roman" w:hAnsi="Times New Roman" w:cs="Times New Roman"/>
          <w:sz w:val="24"/>
          <w:szCs w:val="24"/>
        </w:rPr>
        <w:lastRenderedPageBreak/>
        <w:t>the pandemic i.e. higher than the governments NPIs and vaccination programs. It might become apparent that the role of government interventions might have played a subordinated role compared to the above discussed factors.</w:t>
      </w:r>
    </w:p>
    <w:p w:rsidR="00896D6C" w:rsidRPr="009872B0" w:rsidRDefault="002D7DE5">
      <w:pPr>
        <w:spacing w:before="100" w:beforeAutospacing="1" w:after="100" w:afterAutospacing="1" w:line="360" w:lineRule="auto"/>
        <w:jc w:val="both"/>
        <w:rPr>
          <w:rFonts w:ascii="Times New Roman" w:eastAsia="Times New Roman" w:hAnsi="Times New Roman" w:cs="Times New Roman"/>
          <w:sz w:val="24"/>
          <w:szCs w:val="24"/>
        </w:rPr>
      </w:pPr>
      <w:r w:rsidRPr="009872B0">
        <w:rPr>
          <w:noProof/>
        </w:rPr>
        <w:drawing>
          <wp:inline distT="0" distB="0" distL="0" distR="0" wp14:anchorId="506C29D0" wp14:editId="608CFF28">
            <wp:extent cx="6812280" cy="5935980"/>
            <wp:effectExtent l="0" t="0" r="7620" b="762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a:picLocks noChangeAspect="1"/>
                    </pic:cNvPicPr>
                  </pic:nvPicPr>
                  <pic:blipFill>
                    <a:blip r:embed="rId20">
                      <a:extLst>
                        <a:ext uri="{BEBA8EAE-BF5A-486C-A8C5-ECC9F3942E4B}">
                          <a14:imgProps xmlns:a14="http://schemas.microsoft.com/office/drawing/2010/main">
                            <a14:imgLayer r:embed="rId21">
                              <a14:imgEffect>
                                <a14:brightnessContrast contrast="40000"/>
                              </a14:imgEffect>
                            </a14:imgLayer>
                          </a14:imgProps>
                        </a:ext>
                      </a:extLst>
                    </a:blip>
                    <a:stretch/>
                  </pic:blipFill>
                  <pic:spPr bwMode="auto">
                    <a:xfrm>
                      <a:off x="0" y="0"/>
                      <a:ext cx="6812280" cy="5935980"/>
                    </a:xfrm>
                    <a:prstGeom prst="rect">
                      <a:avLst/>
                    </a:prstGeom>
                  </pic:spPr>
                </pic:pic>
              </a:graphicData>
            </a:graphic>
          </wp:inline>
        </w:drawing>
      </w:r>
    </w:p>
    <w:p w:rsidR="00896D6C" w:rsidRPr="009872B0" w:rsidRDefault="002D7DE5">
      <w:pPr>
        <w:pStyle w:val="Caption"/>
        <w:jc w:val="both"/>
        <w:rPr>
          <w:rFonts w:ascii="Times New Roman" w:hAnsi="Times New Roman" w:cs="Times New Roman"/>
          <w:i w:val="0"/>
          <w:iCs w:val="0"/>
          <w:color w:val="auto"/>
          <w:sz w:val="20"/>
          <w:szCs w:val="20"/>
        </w:rPr>
      </w:pPr>
      <w:r w:rsidRPr="00997D51">
        <w:rPr>
          <w:rFonts w:ascii="Times New Roman" w:hAnsi="Times New Roman" w:cs="Times New Roman"/>
          <w:i w:val="0"/>
          <w:iCs w:val="0"/>
          <w:color w:val="auto"/>
          <w:sz w:val="20"/>
          <w:szCs w:val="20"/>
        </w:rPr>
        <w:t>Figure 3</w:t>
      </w:r>
      <w:r w:rsidR="00997D51" w:rsidRPr="00997D51">
        <w:rPr>
          <w:rFonts w:ascii="Times New Roman" w:hAnsi="Times New Roman" w:cs="Times New Roman"/>
          <w:i w:val="0"/>
          <w:iCs w:val="0"/>
          <w:color w:val="auto"/>
          <w:sz w:val="20"/>
          <w:szCs w:val="20"/>
        </w:rPr>
        <w:t xml:space="preserve"> </w:t>
      </w:r>
      <w:r w:rsidR="00997D51" w:rsidRPr="00997D51">
        <w:rPr>
          <w:rFonts w:ascii="Times New Roman" w:hAnsi="Times New Roman" w:cs="Times New Roman"/>
          <w:i w:val="0"/>
          <w:iCs w:val="0"/>
          <w:sz w:val="20"/>
          <w:szCs w:val="20"/>
        </w:rPr>
        <w:t>(</w:t>
      </w:r>
      <w:r w:rsidR="00310D3D" w:rsidRPr="00A41C1A">
        <w:rPr>
          <w:rFonts w:ascii="Times New Roman" w:hAnsi="Times New Roman" w:cs="Times New Roman"/>
          <w:i w:val="0"/>
          <w:iCs w:val="0"/>
          <w:sz w:val="20"/>
          <w:szCs w:val="20"/>
        </w:rPr>
        <w:t>h</w:t>
      </w:r>
      <w:r w:rsidR="00997D51" w:rsidRPr="00A41C1A">
        <w:rPr>
          <w:rFonts w:ascii="Times New Roman" w:hAnsi="Times New Roman" w:cs="Times New Roman"/>
          <w:i w:val="0"/>
          <w:iCs w:val="0"/>
          <w:sz w:val="20"/>
          <w:szCs w:val="20"/>
        </w:rPr>
        <w:t>igh resolution image</w:t>
      </w:r>
      <w:r w:rsidR="00997D51" w:rsidRPr="00997D51">
        <w:rPr>
          <w:rFonts w:ascii="Times New Roman" w:hAnsi="Times New Roman" w:cs="Times New Roman"/>
          <w:i w:val="0"/>
          <w:iCs w:val="0"/>
          <w:sz w:val="20"/>
          <w:szCs w:val="20"/>
        </w:rPr>
        <w:t>)</w:t>
      </w:r>
      <w:r w:rsidRPr="00997D51">
        <w:rPr>
          <w:rFonts w:ascii="Times New Roman" w:hAnsi="Times New Roman" w:cs="Times New Roman"/>
          <w:i w:val="0"/>
          <w:iCs w:val="0"/>
          <w:color w:val="auto"/>
          <w:sz w:val="20"/>
          <w:szCs w:val="20"/>
        </w:rPr>
        <w:t>: sorted permutation</w:t>
      </w:r>
      <w:r w:rsidRPr="009872B0">
        <w:rPr>
          <w:rFonts w:ascii="Times New Roman" w:hAnsi="Times New Roman" w:cs="Times New Roman"/>
          <w:i w:val="0"/>
          <w:iCs w:val="0"/>
          <w:color w:val="auto"/>
          <w:sz w:val="20"/>
          <w:szCs w:val="20"/>
        </w:rPr>
        <w:t xml:space="preserve"> feature importance of explanatory variables</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lastRenderedPageBreak/>
        <w:t>Among the government interventions</w:t>
      </w:r>
      <w:r w:rsidRPr="009872B0">
        <w:rPr>
          <w:rStyle w:val="FootnoteReference"/>
          <w:rFonts w:ascii="Times New Roman" w:hAnsi="Times New Roman" w:cs="Times New Roman"/>
          <w:sz w:val="24"/>
          <w:szCs w:val="24"/>
        </w:rPr>
        <w:footnoteReference w:id="10"/>
      </w:r>
      <w:r w:rsidRPr="009872B0">
        <w:rPr>
          <w:rFonts w:ascii="Times New Roman" w:hAnsi="Times New Roman" w:cs="Times New Roman"/>
          <w:sz w:val="24"/>
          <w:szCs w:val="24"/>
        </w:rPr>
        <w:t>, closing the primary schools, closures of non-essential shops (as a partially relaxed measure), the first vaccination dose, restrictions on private gathering, stay-at-home orders for the general population (these are enforced and also referred to as ‘</w:t>
      </w:r>
      <w:r w:rsidRPr="009872B0">
        <w:rPr>
          <w:rFonts w:ascii="Times New Roman" w:hAnsi="Times New Roman" w:cs="Times New Roman"/>
          <w:i/>
          <w:iCs/>
          <w:sz w:val="24"/>
          <w:szCs w:val="24"/>
        </w:rPr>
        <w:t>lockdown</w:t>
      </w:r>
      <w:r w:rsidRPr="009872B0">
        <w:rPr>
          <w:rFonts w:ascii="Times New Roman" w:hAnsi="Times New Roman" w:cs="Times New Roman"/>
          <w:sz w:val="24"/>
          <w:szCs w:val="24"/>
        </w:rPr>
        <w:t xml:space="preserve">’) as a partially relaxed measure, closures of non-essential shops, mass gathering interventions i.e. interventions to limit mass/public gatherings (any interventions on mass gatherings up to 1000 participants included) and the closure of gyms and sport centers (as a partially relaxed measure) are the most impacting factors followed by a range of other features which can be read from the right hand panel of figure 3. In section 4.3 we take a closer look at the partial effects of the relevant features indicating high PFIs within the right hand panel of figure 3. </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t>4.3 Partial dependence effects</w:t>
      </w:r>
    </w:p>
    <w:p w:rsidR="00896D6C" w:rsidRPr="009872B0" w:rsidRDefault="002D7DE5" w:rsidP="00C34FAF">
      <w:pPr>
        <w:spacing w:line="360" w:lineRule="auto"/>
        <w:jc w:val="both"/>
        <w:rPr>
          <w:rFonts w:ascii="Times New Roman" w:eastAsia="Times New Roman" w:hAnsi="Times New Roman" w:cs="Times New Roman"/>
          <w:sz w:val="24"/>
          <w:szCs w:val="24"/>
        </w:rPr>
      </w:pPr>
      <w:r w:rsidRPr="009872B0">
        <w:rPr>
          <w:rFonts w:ascii="Times New Roman" w:hAnsi="Times New Roman" w:cs="Times New Roman"/>
          <w:sz w:val="24"/>
          <w:szCs w:val="24"/>
        </w:rPr>
        <w:t>To shed light on the marginal effect each relevant input features might have on the predicted outcome of the model</w:t>
      </w:r>
      <w:r w:rsidR="00962FB7">
        <w:rPr>
          <w:rFonts w:ascii="Times New Roman" w:hAnsi="Times New Roman" w:cs="Times New Roman"/>
          <w:sz w:val="24"/>
          <w:szCs w:val="24"/>
        </w:rPr>
        <w:t xml:space="preserve"> (the monthly reproduction rates of the pandemic)</w:t>
      </w:r>
      <w:r w:rsidRPr="009872B0">
        <w:rPr>
          <w:rFonts w:ascii="Times New Roman" w:hAnsi="Times New Roman" w:cs="Times New Roman"/>
          <w:sz w:val="24"/>
          <w:szCs w:val="24"/>
        </w:rPr>
        <w:t xml:space="preserve">, </w:t>
      </w:r>
      <w:r w:rsidR="00962FB7">
        <w:rPr>
          <w:rFonts w:ascii="Times New Roman" w:hAnsi="Times New Roman" w:cs="Times New Roman"/>
          <w:sz w:val="24"/>
          <w:szCs w:val="24"/>
        </w:rPr>
        <w:t>one</w:t>
      </w:r>
      <w:r w:rsidRPr="009872B0">
        <w:rPr>
          <w:rFonts w:ascii="Times New Roman" w:hAnsi="Times New Roman" w:cs="Times New Roman"/>
          <w:sz w:val="24"/>
          <w:szCs w:val="24"/>
        </w:rPr>
        <w:t xml:space="preserve"> can use partial dependence plot PDP concept (J. H. Friedman, 2001). In order to compute the average partial dependence function of a </w:t>
      </w:r>
      <w:r w:rsidRPr="007C7427">
        <w:rPr>
          <w:rFonts w:ascii="Times New Roman" w:hAnsi="Times New Roman" w:cs="Times New Roman"/>
          <w:i/>
          <w:iCs/>
          <w:sz w:val="24"/>
          <w:szCs w:val="24"/>
        </w:rPr>
        <w:t>certain value</w:t>
      </w:r>
      <w:r w:rsidRPr="009872B0">
        <w:rPr>
          <w:rFonts w:ascii="Times New Roman" w:hAnsi="Times New Roman" w:cs="Times New Roman"/>
          <w:sz w:val="24"/>
          <w:szCs w:val="24"/>
        </w:rPr>
        <w:t xml:space="preserve"> of a feature, one can estimate the average prediction of </w:t>
      </w:r>
      <w:r w:rsidRPr="009872B0">
        <w:rPr>
          <w:rFonts w:ascii="Times New Roman" w:eastAsia="Times New Roman" w:hAnsi="Times New Roman" w:cs="Times New Roman"/>
          <w:sz w:val="24"/>
          <w:szCs w:val="24"/>
        </w:rPr>
        <w:t xml:space="preserve">all rows of a selected set of data (hereby country wise) </w:t>
      </w:r>
      <w:r w:rsidRPr="009872B0">
        <w:rPr>
          <w:rFonts w:ascii="Times New Roman" w:hAnsi="Times New Roman" w:cs="Times New Roman"/>
          <w:sz w:val="24"/>
          <w:szCs w:val="24"/>
        </w:rPr>
        <w:t>if all data points regarding that feature are set to the mentioned certain value.</w:t>
      </w:r>
      <w:r w:rsidRPr="009872B0">
        <w:rPr>
          <w:rFonts w:ascii="Times New Roman" w:eastAsia="Times New Roman" w:hAnsi="Times New Roman" w:cs="Times New Roman"/>
          <w:sz w:val="24"/>
          <w:szCs w:val="24"/>
        </w:rPr>
        <w:t xml:space="preserve"> Hereby we utilize the PDP concept to understand the 2 distinct counterfactual scenarios, in which one selected feature could be turned to be 1 (representing its activation within all data rows</w:t>
      </w:r>
      <w:r w:rsidR="007C7427">
        <w:rPr>
          <w:rFonts w:ascii="Times New Roman" w:eastAsia="Times New Roman" w:hAnsi="Times New Roman" w:cs="Times New Roman"/>
          <w:sz w:val="24"/>
          <w:szCs w:val="24"/>
        </w:rPr>
        <w:t xml:space="preserve"> of a country</w:t>
      </w:r>
      <w:r w:rsidRPr="009872B0">
        <w:rPr>
          <w:rFonts w:ascii="Times New Roman" w:eastAsia="Times New Roman" w:hAnsi="Times New Roman" w:cs="Times New Roman"/>
          <w:sz w:val="24"/>
          <w:szCs w:val="24"/>
        </w:rPr>
        <w:t>) or be turned to zero (representing its inactivation within all data rows</w:t>
      </w:r>
      <w:r w:rsidR="007C7427">
        <w:rPr>
          <w:rFonts w:ascii="Times New Roman" w:eastAsia="Times New Roman" w:hAnsi="Times New Roman" w:cs="Times New Roman"/>
          <w:sz w:val="24"/>
          <w:szCs w:val="24"/>
        </w:rPr>
        <w:t xml:space="preserve"> of a country</w:t>
      </w:r>
      <w:r w:rsidRPr="009872B0">
        <w:rPr>
          <w:rFonts w:ascii="Times New Roman" w:eastAsia="Times New Roman" w:hAnsi="Times New Roman" w:cs="Times New Roman"/>
          <w:sz w:val="24"/>
          <w:szCs w:val="24"/>
        </w:rPr>
        <w:t xml:space="preserve">). We do this procedure country wise over the entire existing data of each country member of our 30 countries data set. Furthermore, similar to the procedure done in section 4.2, and in order to deliver the most possible precise predicted outputs by the </w:t>
      </w:r>
      <w:r w:rsidRPr="009872B0">
        <w:rPr>
          <w:rFonts w:ascii="Times New Roman" w:hAnsi="Times New Roman" w:cs="Times New Roman"/>
          <w:sz w:val="24"/>
          <w:szCs w:val="24"/>
        </w:rPr>
        <w:t>BCNN</w:t>
      </w:r>
      <w:r w:rsidRPr="009872B0">
        <w:rPr>
          <w:rFonts w:ascii="Times New Roman" w:eastAsia="Times New Roman" w:hAnsi="Times New Roman" w:cs="Times New Roman"/>
          <w:sz w:val="24"/>
          <w:szCs w:val="24"/>
        </w:rPr>
        <w:t xml:space="preserve"> model, the average computing PDP is done through 100 times repetition of the model prediction for each row and </w:t>
      </w:r>
      <w:r w:rsidRPr="009872B0">
        <w:rPr>
          <w:rFonts w:ascii="Times New Roman" w:hAnsi="Times New Roman" w:cs="Times New Roman"/>
          <w:sz w:val="24"/>
          <w:szCs w:val="24"/>
        </w:rPr>
        <w:t>averaging of 100 predicted values for that row</w:t>
      </w:r>
      <w:r w:rsidRPr="009872B0">
        <w:rPr>
          <w:rStyle w:val="FootnoteReference"/>
          <w:rFonts w:ascii="Times New Roman" w:hAnsi="Times New Roman" w:cs="Times New Roman"/>
          <w:sz w:val="24"/>
          <w:szCs w:val="24"/>
        </w:rPr>
        <w:footnoteReference w:id="11"/>
      </w:r>
      <w:r w:rsidRPr="009872B0">
        <w:rPr>
          <w:rFonts w:ascii="Times New Roman" w:eastAsia="Times New Roman" w:hAnsi="Times New Roman" w:cs="Times New Roman"/>
          <w:sz w:val="24"/>
          <w:szCs w:val="24"/>
        </w:rPr>
        <w:t xml:space="preserve">. For each feature and each country, we then subtract the corresponding PDP value related to the inactivation of that feature (representing the average predicted </w:t>
      </w:r>
      <w:r w:rsidR="007C7427">
        <w:rPr>
          <w:rFonts w:ascii="Times New Roman" w:eastAsia="Times New Roman" w:hAnsi="Times New Roman" w:cs="Times New Roman"/>
          <w:sz w:val="24"/>
          <w:szCs w:val="24"/>
        </w:rPr>
        <w:t xml:space="preserve">monthly </w:t>
      </w:r>
      <w:r w:rsidRPr="009872B0">
        <w:rPr>
          <w:rFonts w:ascii="Times New Roman" w:eastAsia="Times New Roman" w:hAnsi="Times New Roman" w:cs="Times New Roman"/>
          <w:sz w:val="24"/>
          <w:szCs w:val="24"/>
        </w:rPr>
        <w:t xml:space="preserve">reproduction rate percentile by setting that feature to zero) from the corresponding PDP value related to the activation of that feature (representing the average predicted </w:t>
      </w:r>
      <w:r w:rsidR="007C7427">
        <w:rPr>
          <w:rFonts w:ascii="Times New Roman" w:eastAsia="Times New Roman" w:hAnsi="Times New Roman" w:cs="Times New Roman"/>
          <w:sz w:val="24"/>
          <w:szCs w:val="24"/>
        </w:rPr>
        <w:t xml:space="preserve">monthly </w:t>
      </w:r>
      <w:r w:rsidRPr="009872B0">
        <w:rPr>
          <w:rFonts w:ascii="Times New Roman" w:eastAsia="Times New Roman" w:hAnsi="Times New Roman" w:cs="Times New Roman"/>
          <w:sz w:val="24"/>
          <w:szCs w:val="24"/>
        </w:rPr>
        <w:t xml:space="preserve">reproduction rate percentile by setting that feature to one). Hence, if the subtracted value is greater than zero, then it means that average predicted reproduction rate </w:t>
      </w:r>
      <w:r w:rsidRPr="009872B0">
        <w:rPr>
          <w:rFonts w:ascii="Times New Roman" w:eastAsia="Times New Roman" w:hAnsi="Times New Roman" w:cs="Times New Roman"/>
          <w:sz w:val="24"/>
          <w:szCs w:val="24"/>
        </w:rPr>
        <w:lastRenderedPageBreak/>
        <w:t xml:space="preserve">will be lower under the counterfactual scenario of the values of that feature being active in the entire days of the pandemic time span in the corresponded country. Analogously, negative subtracted values indicate greater predicted reproduction numbers under the counterfactual scenario of the values of that features being active in the entire days of the pandemic time span. </w:t>
      </w:r>
      <w:r w:rsidR="004459B3" w:rsidRPr="009872B0">
        <w:rPr>
          <w:rFonts w:ascii="Times New Roman" w:eastAsia="Times New Roman" w:hAnsi="Times New Roman" w:cs="Times New Roman"/>
          <w:sz w:val="24"/>
          <w:szCs w:val="24"/>
        </w:rPr>
        <w:t>Moreover</w:t>
      </w:r>
      <w:r w:rsidRPr="009872B0">
        <w:rPr>
          <w:rFonts w:ascii="Times New Roman" w:eastAsia="Times New Roman" w:hAnsi="Times New Roman" w:cs="Times New Roman"/>
          <w:sz w:val="24"/>
          <w:szCs w:val="24"/>
        </w:rPr>
        <w:t xml:space="preserve">, in order to have the original values of reproduction rates in hand (instead of dealing with </w:t>
      </w:r>
      <w:r w:rsidR="00C34FAF">
        <w:rPr>
          <w:rFonts w:ascii="Times New Roman" w:eastAsia="Times New Roman" w:hAnsi="Times New Roman" w:cs="Times New Roman"/>
          <w:sz w:val="24"/>
          <w:szCs w:val="24"/>
        </w:rPr>
        <w:t xml:space="preserve">categorical </w:t>
      </w:r>
      <w:r w:rsidRPr="009872B0">
        <w:rPr>
          <w:rFonts w:ascii="Times New Roman" w:eastAsia="Times New Roman" w:hAnsi="Times New Roman" w:cs="Times New Roman"/>
          <w:sz w:val="24"/>
          <w:szCs w:val="24"/>
        </w:rPr>
        <w:t xml:space="preserve">percentile values of </w:t>
      </w:r>
      <m:oMath>
        <m:sSub>
          <m:sSubPr>
            <m:ctrlPr>
              <w:rPr>
                <w:rFonts w:ascii="Cambria Math" w:hAnsi="Cambria Math" w:cs="Times New Roman"/>
                <w:i/>
                <w:iCs/>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eastAsia="Times New Roman" w:hAnsi="Times New Roman" w:cs="Times New Roman"/>
          <w:sz w:val="24"/>
          <w:szCs w:val="24"/>
        </w:rPr>
        <w:t>)</w:t>
      </w:r>
      <w:r w:rsidRPr="009872B0">
        <w:rPr>
          <w:rFonts w:ascii="Times New Roman" w:hAnsi="Times New Roman" w:cs="Times New Roman"/>
          <w:iCs/>
          <w:sz w:val="24"/>
          <w:szCs w:val="24"/>
        </w:rPr>
        <w:t xml:space="preserve"> , we translate the model outcomes related to both above mentioned counterfactual scenarios again as described in the</w:t>
      </w:r>
      <w:r w:rsidR="00C34FAF">
        <w:rPr>
          <w:rFonts w:ascii="Times New Roman" w:hAnsi="Times New Roman" w:cs="Times New Roman"/>
          <w:iCs/>
          <w:sz w:val="24"/>
          <w:szCs w:val="24"/>
        </w:rPr>
        <w:t xml:space="preserve"> latter lines of the section 3.2</w:t>
      </w:r>
      <w:r w:rsidRPr="009872B0">
        <w:rPr>
          <w:rFonts w:ascii="Times New Roman" w:hAnsi="Times New Roman" w:cs="Times New Roman"/>
          <w:iCs/>
          <w:sz w:val="24"/>
          <w:szCs w:val="24"/>
        </w:rPr>
        <w:t xml:space="preserve"> i.e. we express the results in terms of original </w:t>
      </w:r>
      <w:r w:rsidRPr="00C34FAF">
        <w:rPr>
          <w:rFonts w:ascii="Times New Roman" w:hAnsi="Times New Roman" w:cs="Times New Roman"/>
          <w:i/>
          <w:sz w:val="24"/>
          <w:szCs w:val="24"/>
        </w:rPr>
        <w:t xml:space="preserve">reproduction rate </w:t>
      </w:r>
      <m:oMath>
        <m:sSub>
          <m:sSubPr>
            <m:ctrlPr>
              <w:rPr>
                <w:rFonts w:ascii="Cambria Math" w:hAnsi="Cambria Math" w:cs="Times New Roman"/>
                <w:i/>
                <w:sz w:val="24"/>
                <w:szCs w:val="24"/>
              </w:rPr>
            </m:ctrlPr>
          </m:sSubPr>
          <m:e>
            <m:r>
              <w:rPr>
                <w:rFonts w:ascii="Cambria Math" w:eastAsia="Cambria Math" w:hAnsi="Cambria Math" w:cs="Times New Roman"/>
                <w:sz w:val="24"/>
                <w:szCs w:val="24"/>
              </w:rPr>
              <m:t>R</m:t>
            </m:r>
          </m:e>
          <m:sub>
            <m:r>
              <w:rPr>
                <w:rFonts w:ascii="Cambria Math" w:hAnsi="Cambria Math" w:cs="Times New Roman"/>
                <w:sz w:val="24"/>
                <w:szCs w:val="24"/>
              </w:rPr>
              <m:t>i</m:t>
            </m:r>
          </m:sub>
        </m:sSub>
      </m:oMath>
      <w:r w:rsidRPr="009872B0">
        <w:rPr>
          <w:rFonts w:ascii="Times New Roman" w:hAnsi="Times New Roman" w:cs="Times New Roman"/>
          <w:iCs/>
          <w:sz w:val="24"/>
          <w:szCs w:val="24"/>
        </w:rPr>
        <w:t xml:space="preserve"> values.</w:t>
      </w:r>
      <w:r w:rsidRPr="009872B0">
        <w:rPr>
          <w:rFonts w:ascii="Times New Roman" w:eastAsia="Times New Roman" w:hAnsi="Times New Roman" w:cs="Times New Roman"/>
          <w:sz w:val="24"/>
          <w:szCs w:val="24"/>
        </w:rPr>
        <w:t xml:space="preserve"> Thereafter, the depicted values on the plot in figure 4 express average gains measured in terms of alteration of reproduction values to contain the pandemic growth, if one feature is active in comparison with the circumstance of that feature being non active. </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eastAsia="Times New Roman" w:hAnsi="Times New Roman" w:cs="Times New Roman"/>
          <w:sz w:val="24"/>
          <w:szCs w:val="24"/>
        </w:rPr>
        <w:t xml:space="preserve">It can be seen from the figure 4 that in the light of the assumption regarding the counterfactual scenario of the pandemic getting suck by the merely presence of </w:t>
      </w:r>
      <w:r w:rsidRPr="009872B0">
        <w:rPr>
          <w:rFonts w:ascii="Times New Roman" w:hAnsi="Times New Roman" w:cs="Times New Roman"/>
          <w:i/>
          <w:iCs/>
          <w:sz w:val="24"/>
          <w:szCs w:val="24"/>
        </w:rPr>
        <w:t>B.1.1.7(Coronavirus Alpha variant</w:t>
      </w:r>
      <w:r w:rsidRPr="009872B0">
        <w:rPr>
          <w:rFonts w:ascii="Times New Roman" w:hAnsi="Times New Roman" w:cs="Times New Roman"/>
          <w:sz w:val="24"/>
          <w:szCs w:val="24"/>
        </w:rPr>
        <w:t xml:space="preserve">), huge considerable amount of reproduction rate reduction up to around 90 percent could have been achieved. The next rows regarding the </w:t>
      </w:r>
      <w:r w:rsidRPr="009872B0">
        <w:rPr>
          <w:rFonts w:ascii="Times New Roman" w:hAnsi="Times New Roman" w:cs="Times New Roman"/>
          <w:i/>
          <w:iCs/>
          <w:sz w:val="24"/>
          <w:szCs w:val="24"/>
        </w:rPr>
        <w:t>B.1.617.2 (Coronavirus Delta variant)</w:t>
      </w:r>
      <w:r w:rsidRPr="009872B0">
        <w:rPr>
          <w:rFonts w:ascii="Times New Roman" w:hAnsi="Times New Roman" w:cs="Times New Roman"/>
          <w:sz w:val="24"/>
          <w:szCs w:val="24"/>
        </w:rPr>
        <w:t xml:space="preserve"> and </w:t>
      </w:r>
      <w:r w:rsidRPr="009872B0">
        <w:rPr>
          <w:rFonts w:ascii="Times New Roman" w:hAnsi="Times New Roman" w:cs="Times New Roman"/>
          <w:i/>
          <w:iCs/>
          <w:sz w:val="24"/>
          <w:szCs w:val="24"/>
        </w:rPr>
        <w:t xml:space="preserve">BA.2 (Coronavirus Omicron variant) </w:t>
      </w:r>
      <w:r w:rsidRPr="009872B0">
        <w:rPr>
          <w:rFonts w:ascii="Times New Roman" w:hAnsi="Times New Roman" w:cs="Times New Roman"/>
          <w:sz w:val="24"/>
          <w:szCs w:val="24"/>
        </w:rPr>
        <w:t>reveal to which extent the counterfactual predominance of the Omicron variant could have been beneficial in terms of amelioration of the virus spread and how the hypothetical extension of the delta variant could be harmful.</w:t>
      </w:r>
      <w:r w:rsidRPr="009872B0">
        <w:rPr>
          <w:rStyle w:val="FootnoteReference"/>
          <w:rFonts w:ascii="Times New Roman" w:hAnsi="Times New Roman" w:cs="Times New Roman"/>
          <w:sz w:val="24"/>
          <w:szCs w:val="24"/>
        </w:rPr>
        <w:footnoteReference w:id="12"/>
      </w:r>
      <w:r w:rsidRPr="009872B0">
        <w:rPr>
          <w:rFonts w:ascii="Times New Roman" w:hAnsi="Times New Roman" w:cs="Times New Roman"/>
          <w:sz w:val="24"/>
          <w:szCs w:val="24"/>
        </w:rPr>
        <w:t xml:space="preserve"> </w:t>
      </w:r>
    </w:p>
    <w:p w:rsidR="00896D6C" w:rsidRPr="009872B0" w:rsidRDefault="002D7DE5" w:rsidP="00C06E6B">
      <w:pPr>
        <w:spacing w:line="360" w:lineRule="auto"/>
        <w:jc w:val="both"/>
        <w:rPr>
          <w:rStyle w:val="markedcontent"/>
          <w:rFonts w:ascii="Times New Roman" w:hAnsi="Times New Roman" w:cs="Times New Roman"/>
          <w:iCs/>
          <w:sz w:val="24"/>
          <w:szCs w:val="24"/>
        </w:rPr>
      </w:pPr>
      <w:r w:rsidRPr="009872B0">
        <w:rPr>
          <w:rFonts w:ascii="Times New Roman" w:hAnsi="Times New Roman" w:cs="Times New Roman"/>
          <w:sz w:val="24"/>
          <w:szCs w:val="24"/>
        </w:rPr>
        <w:t>From the figure 4 it becomes evident that within the NPIs, the role of closing primary schools in containing the pandemic</w:t>
      </w:r>
      <w:r w:rsidR="00C34FAF">
        <w:rPr>
          <w:rFonts w:ascii="Times New Roman" w:hAnsi="Times New Roman" w:cs="Times New Roman"/>
          <w:sz w:val="24"/>
          <w:szCs w:val="24"/>
        </w:rPr>
        <w:t xml:space="preserve"> (in terms of less reproduction rates)</w:t>
      </w:r>
      <w:r w:rsidRPr="009872B0">
        <w:rPr>
          <w:rFonts w:ascii="Times New Roman" w:hAnsi="Times New Roman" w:cs="Times New Roman"/>
          <w:sz w:val="24"/>
          <w:szCs w:val="24"/>
        </w:rPr>
        <w:t xml:space="preserve"> </w:t>
      </w:r>
      <w:r w:rsidR="00C34FAF">
        <w:rPr>
          <w:rFonts w:ascii="Times New Roman" w:hAnsi="Times New Roman" w:cs="Times New Roman"/>
          <w:sz w:val="24"/>
          <w:szCs w:val="24"/>
        </w:rPr>
        <w:t>might not be</w:t>
      </w:r>
      <w:r w:rsidRPr="009872B0">
        <w:rPr>
          <w:rFonts w:ascii="Times New Roman" w:hAnsi="Times New Roman" w:cs="Times New Roman"/>
          <w:sz w:val="24"/>
          <w:szCs w:val="24"/>
        </w:rPr>
        <w:t xml:space="preserve"> negligible. Similar effects on the controlling of the disease spread has been gained by the factor </w:t>
      </w:r>
      <w:r w:rsidRPr="009872B0">
        <w:rPr>
          <w:rFonts w:ascii="Times New Roman" w:hAnsi="Times New Roman" w:cs="Times New Roman"/>
          <w:i/>
          <w:iCs/>
          <w:sz w:val="24"/>
          <w:szCs w:val="24"/>
        </w:rPr>
        <w:t>vaccine_0_1,</w:t>
      </w:r>
      <w:r w:rsidRPr="009872B0">
        <w:rPr>
          <w:rFonts w:ascii="Times New Roman" w:hAnsi="Times New Roman" w:cs="Times New Roman"/>
          <w:sz w:val="24"/>
          <w:szCs w:val="24"/>
        </w:rPr>
        <w:t xml:space="preserve"> which expresses the counterfactual scenario of the whole population being vaccinated by the first and the second dose within the entire phases of the pandemic. Likewise, is the role of </w:t>
      </w:r>
      <w:r w:rsidRPr="009872B0">
        <w:rPr>
          <w:rFonts w:ascii="Times New Roman" w:hAnsi="Times New Roman" w:cs="Times New Roman"/>
          <w:i/>
          <w:iCs/>
          <w:sz w:val="24"/>
          <w:szCs w:val="24"/>
        </w:rPr>
        <w:t>general</w:t>
      </w:r>
      <w:r w:rsidRPr="009872B0">
        <w:rPr>
          <w:rFonts w:ascii="Times New Roman" w:hAnsi="Times New Roman" w:cs="Times New Roman"/>
          <w:sz w:val="24"/>
          <w:szCs w:val="24"/>
        </w:rPr>
        <w:t xml:space="preserve"> and </w:t>
      </w:r>
      <w:r w:rsidRPr="009872B0">
        <w:rPr>
          <w:rFonts w:ascii="Times New Roman" w:hAnsi="Times New Roman" w:cs="Times New Roman"/>
          <w:i/>
          <w:iCs/>
          <w:sz w:val="24"/>
          <w:szCs w:val="24"/>
        </w:rPr>
        <w:t>regional</w:t>
      </w:r>
      <w:r w:rsidRPr="009872B0">
        <w:rPr>
          <w:rFonts w:ascii="Times New Roman" w:hAnsi="Times New Roman" w:cs="Times New Roman"/>
          <w:sz w:val="24"/>
          <w:szCs w:val="24"/>
        </w:rPr>
        <w:t xml:space="preserve"> lockdowns has played to combat the pandemic as well as the role of non-essential shops closures. The next positive intervention, which to some extent stands out is </w:t>
      </w:r>
      <w:proofErr w:type="spellStart"/>
      <w:r w:rsidRPr="009872B0">
        <w:rPr>
          <w:rFonts w:ascii="Times New Roman" w:hAnsi="Times New Roman" w:cs="Times New Roman"/>
          <w:i/>
          <w:iCs/>
          <w:sz w:val="24"/>
          <w:szCs w:val="24"/>
        </w:rPr>
        <w:t>MasksMandatoryAllSpaces</w:t>
      </w:r>
      <w:proofErr w:type="spellEnd"/>
      <w:r w:rsidRPr="009872B0">
        <w:rPr>
          <w:rFonts w:ascii="Times New Roman" w:hAnsi="Times New Roman" w:cs="Times New Roman"/>
          <w:i/>
          <w:iCs/>
          <w:sz w:val="24"/>
          <w:szCs w:val="24"/>
        </w:rPr>
        <w:t xml:space="preserve">, </w:t>
      </w:r>
      <w:r w:rsidRPr="009872B0">
        <w:rPr>
          <w:rFonts w:ascii="Times New Roman" w:hAnsi="Times New Roman" w:cs="Times New Roman"/>
          <w:sz w:val="24"/>
          <w:szCs w:val="24"/>
        </w:rPr>
        <w:t xml:space="preserve">which is encompassing the protective mask usage in all public spaces on mandatory basis (enforced by law). In contrast it is peculiar that the factor </w:t>
      </w:r>
      <w:proofErr w:type="spellStart"/>
      <w:r w:rsidRPr="009872B0">
        <w:rPr>
          <w:rFonts w:ascii="Times New Roman" w:hAnsi="Times New Roman" w:cs="Times New Roman"/>
          <w:sz w:val="24"/>
          <w:szCs w:val="24"/>
        </w:rPr>
        <w:t>MasksMandatoryClosedSpaces</w:t>
      </w:r>
      <w:proofErr w:type="spellEnd"/>
      <w:r w:rsidRPr="009872B0">
        <w:rPr>
          <w:rFonts w:ascii="Times New Roman" w:hAnsi="Times New Roman" w:cs="Times New Roman"/>
          <w:sz w:val="24"/>
          <w:szCs w:val="24"/>
        </w:rPr>
        <w:t xml:space="preserve"> representing protective mask use in closed public spaces/transport on mandatory basis (enforced </w:t>
      </w:r>
      <w:r w:rsidRPr="009872B0">
        <w:rPr>
          <w:rFonts w:ascii="Times New Roman" w:hAnsi="Times New Roman" w:cs="Times New Roman"/>
          <w:sz w:val="24"/>
          <w:szCs w:val="24"/>
        </w:rPr>
        <w:lastRenderedPageBreak/>
        <w:t>by law) is just revealing negative gains</w:t>
      </w:r>
      <w:r w:rsidR="00C34FAF">
        <w:rPr>
          <w:rFonts w:ascii="Times New Roman" w:hAnsi="Times New Roman" w:cs="Times New Roman"/>
          <w:sz w:val="24"/>
          <w:szCs w:val="24"/>
        </w:rPr>
        <w:t xml:space="preserve"> in the most of the countries.</w:t>
      </w:r>
      <w:r w:rsidR="00C34FAF">
        <w:rPr>
          <w:rFonts w:ascii="Times New Roman" w:hAnsi="Times New Roman" w:cs="Times New Roman"/>
          <w:sz w:val="24"/>
          <w:szCs w:val="24"/>
        </w:rPr>
        <w:br/>
        <w:t>Basically, t</w:t>
      </w:r>
      <w:r w:rsidRPr="009872B0">
        <w:rPr>
          <w:rFonts w:ascii="Times New Roman" w:hAnsi="Times New Roman" w:cs="Times New Roman"/>
          <w:sz w:val="24"/>
          <w:szCs w:val="24"/>
        </w:rPr>
        <w:t xml:space="preserve">he results of our model when it comes to </w:t>
      </w:r>
      <w:r w:rsidRPr="009872B0">
        <w:rPr>
          <w:rFonts w:ascii="Times New Roman" w:hAnsi="Times New Roman" w:cs="Times New Roman"/>
          <w:i/>
          <w:iCs/>
          <w:sz w:val="24"/>
          <w:szCs w:val="24"/>
        </w:rPr>
        <w:t>mask</w:t>
      </w:r>
      <w:r w:rsidRPr="009872B0">
        <w:rPr>
          <w:rFonts w:ascii="Times New Roman" w:hAnsi="Times New Roman" w:cs="Times New Roman"/>
          <w:sz w:val="24"/>
          <w:szCs w:val="24"/>
        </w:rPr>
        <w:t xml:space="preserve"> policies ar</w:t>
      </w:r>
      <w:r w:rsidR="00C34FAF">
        <w:rPr>
          <w:rFonts w:ascii="Times New Roman" w:hAnsi="Times New Roman" w:cs="Times New Roman"/>
          <w:sz w:val="24"/>
          <w:szCs w:val="24"/>
        </w:rPr>
        <w:t>e to some extent understandable e</w:t>
      </w:r>
      <w:r w:rsidRPr="009872B0">
        <w:rPr>
          <w:rFonts w:ascii="Times New Roman" w:hAnsi="Times New Roman" w:cs="Times New Roman"/>
          <w:sz w:val="24"/>
          <w:szCs w:val="24"/>
        </w:rPr>
        <w:t xml:space="preserve">.g. some kind of voluntary mask usage including </w:t>
      </w:r>
      <w:proofErr w:type="spellStart"/>
      <w:r w:rsidRPr="009872B0">
        <w:rPr>
          <w:rFonts w:ascii="Times New Roman" w:hAnsi="Times New Roman" w:cs="Times New Roman"/>
          <w:i/>
          <w:iCs/>
          <w:sz w:val="24"/>
          <w:szCs w:val="24"/>
        </w:rPr>
        <w:t>MasksVoluntaryAllSpaces</w:t>
      </w:r>
      <w:proofErr w:type="spellEnd"/>
      <w:r w:rsidRPr="009872B0">
        <w:rPr>
          <w:rFonts w:ascii="Times New Roman" w:hAnsi="Times New Roman" w:cs="Times New Roman"/>
          <w:sz w:val="24"/>
          <w:szCs w:val="24"/>
        </w:rPr>
        <w:t xml:space="preserve"> and </w:t>
      </w:r>
      <w:proofErr w:type="spellStart"/>
      <w:r w:rsidRPr="009872B0">
        <w:rPr>
          <w:rFonts w:ascii="Times New Roman" w:hAnsi="Times New Roman" w:cs="Times New Roman"/>
          <w:i/>
          <w:iCs/>
          <w:sz w:val="24"/>
          <w:szCs w:val="24"/>
        </w:rPr>
        <w:t>MasksVoluntaryClosedSpacesPartial</w:t>
      </w:r>
      <w:proofErr w:type="spellEnd"/>
      <w:r w:rsidRPr="009872B0">
        <w:rPr>
          <w:rFonts w:ascii="Times New Roman" w:hAnsi="Times New Roman" w:cs="Times New Roman"/>
          <w:sz w:val="24"/>
          <w:szCs w:val="24"/>
        </w:rPr>
        <w:t xml:space="preserve"> rules are sorted as insignificance and are in the left hand side panel of the figure 3. This might be to some extent intuitive as voluntary masking rules without enforcing through law might not be so influential. It is also evident that mask usage in all public spaces on mandatory basis (enforced by law) is an effective measure as it is predicted by our model too. However, </w:t>
      </w:r>
      <w:r w:rsidRPr="009872B0">
        <w:rPr>
          <w:rFonts w:ascii="Times New Roman" w:eastAsia="Calibri Light" w:hAnsi="Times New Roman" w:cs="Times New Roman"/>
          <w:sz w:val="24"/>
          <w:szCs w:val="24"/>
        </w:rPr>
        <w:t xml:space="preserve">the relative critical efficacy of mask mandates in </w:t>
      </w:r>
      <w:r w:rsidRPr="00550248">
        <w:rPr>
          <w:rFonts w:ascii="Times New Roman" w:eastAsia="Calibri Light" w:hAnsi="Times New Roman" w:cs="Times New Roman"/>
          <w:i/>
          <w:iCs/>
          <w:sz w:val="24"/>
          <w:szCs w:val="24"/>
        </w:rPr>
        <w:t>closed</w:t>
      </w:r>
      <w:r w:rsidRPr="009872B0">
        <w:rPr>
          <w:rFonts w:ascii="Times New Roman" w:eastAsia="Calibri Light" w:hAnsi="Times New Roman" w:cs="Times New Roman"/>
          <w:sz w:val="24"/>
          <w:szCs w:val="24"/>
        </w:rPr>
        <w:t xml:space="preserve"> space</w:t>
      </w:r>
      <w:r w:rsidRPr="009872B0">
        <w:rPr>
          <w:rFonts w:ascii="Times New Roman" w:hAnsi="Times New Roman" w:cs="Times New Roman"/>
          <w:sz w:val="24"/>
          <w:szCs w:val="24"/>
        </w:rPr>
        <w:t xml:space="preserve"> might offer further researches to elaborate more on the role of mask mandates to control the pandemic. </w:t>
      </w:r>
      <w:r w:rsidRPr="009872B0">
        <w:rPr>
          <w:rFonts w:ascii="Times New Roman" w:eastAsia="Calibri Light" w:hAnsi="Times New Roman" w:cs="Times New Roman"/>
          <w:sz w:val="24"/>
          <w:szCs w:val="24"/>
        </w:rPr>
        <w:t>While the effects of government mask mandates in the literature are</w:t>
      </w:r>
      <w:r w:rsidR="00550248">
        <w:rPr>
          <w:rFonts w:ascii="Times New Roman" w:eastAsia="Calibri Light" w:hAnsi="Times New Roman" w:cs="Times New Roman"/>
          <w:sz w:val="24"/>
          <w:szCs w:val="24"/>
        </w:rPr>
        <w:t xml:space="preserve"> to some </w:t>
      </w:r>
      <w:r w:rsidR="00F33902">
        <w:rPr>
          <w:rFonts w:ascii="Times New Roman" w:eastAsia="Calibri Light" w:hAnsi="Times New Roman" w:cs="Times New Roman"/>
          <w:sz w:val="24"/>
          <w:szCs w:val="24"/>
        </w:rPr>
        <w:t>extent</w:t>
      </w:r>
      <w:r w:rsidRPr="009872B0">
        <w:rPr>
          <w:rFonts w:ascii="Times New Roman" w:eastAsia="Calibri Light" w:hAnsi="Times New Roman" w:cs="Times New Roman"/>
          <w:sz w:val="24"/>
          <w:szCs w:val="24"/>
        </w:rPr>
        <w:t xml:space="preserve"> inconsistent (</w:t>
      </w:r>
      <w:r w:rsidRPr="00F33902">
        <w:rPr>
          <w:rFonts w:ascii="Times New Roman" w:eastAsia="Calibri Light" w:hAnsi="Times New Roman" w:cs="Times New Roman"/>
          <w:sz w:val="24"/>
          <w:szCs w:val="24"/>
        </w:rPr>
        <w:t>Leech et. al., 2022</w:t>
      </w:r>
      <w:r w:rsidRPr="009872B0">
        <w:rPr>
          <w:rFonts w:ascii="Times New Roman" w:eastAsia="Calibri Light" w:hAnsi="Times New Roman" w:cs="Times New Roman"/>
          <w:sz w:val="24"/>
          <w:szCs w:val="24"/>
        </w:rPr>
        <w:t xml:space="preserve">), the </w:t>
      </w:r>
      <w:r w:rsidRPr="009872B0">
        <w:rPr>
          <w:rFonts w:ascii="Times New Roman" w:eastAsia="Calibri Light" w:hAnsi="Times New Roman" w:cs="Times New Roman"/>
          <w:i/>
          <w:iCs/>
          <w:sz w:val="24"/>
          <w:szCs w:val="24"/>
        </w:rPr>
        <w:t>partially</w:t>
      </w:r>
      <w:r w:rsidRPr="009872B0">
        <w:rPr>
          <w:rFonts w:ascii="Times New Roman" w:eastAsia="Calibri Light" w:hAnsi="Times New Roman" w:cs="Times New Roman"/>
          <w:sz w:val="24"/>
          <w:szCs w:val="24"/>
        </w:rPr>
        <w:t xml:space="preserve"> inconstant result regarding mask mandates in </w:t>
      </w:r>
      <w:r w:rsidRPr="009872B0">
        <w:rPr>
          <w:rFonts w:ascii="Times New Roman" w:eastAsia="Calibri Light" w:hAnsi="Times New Roman" w:cs="Times New Roman"/>
          <w:i/>
          <w:iCs/>
          <w:sz w:val="24"/>
          <w:szCs w:val="24"/>
        </w:rPr>
        <w:t>closed</w:t>
      </w:r>
      <w:r w:rsidRPr="009872B0">
        <w:rPr>
          <w:rFonts w:ascii="Times New Roman" w:eastAsia="Calibri Light" w:hAnsi="Times New Roman" w:cs="Times New Roman"/>
          <w:sz w:val="24"/>
          <w:szCs w:val="24"/>
        </w:rPr>
        <w:t xml:space="preserve"> spaces in figure 4 might be further examined. </w:t>
      </w:r>
      <w:r w:rsidR="00F33902" w:rsidRPr="009872B0">
        <w:rPr>
          <w:rFonts w:ascii="Times New Roman" w:eastAsia="Calibri Light" w:hAnsi="Times New Roman" w:cs="Times New Roman"/>
          <w:sz w:val="24"/>
          <w:szCs w:val="24"/>
        </w:rPr>
        <w:t>Thereby,</w:t>
      </w:r>
      <w:r w:rsidRPr="009872B0">
        <w:rPr>
          <w:rFonts w:ascii="Times New Roman" w:eastAsia="Calibri Light" w:hAnsi="Times New Roman" w:cs="Times New Roman"/>
          <w:sz w:val="24"/>
          <w:szCs w:val="24"/>
        </w:rPr>
        <w:t xml:space="preserve"> there exists some hypothesis that enforcing masks works if and only when entire or at least a certain mass of the society becomes committed to it and it becomes significantly inefficient if it is prescribed or obeyed partially (</w:t>
      </w:r>
      <w:r w:rsidRPr="00F33902">
        <w:rPr>
          <w:rFonts w:ascii="Times New Roman" w:eastAsia="Calibri Light" w:hAnsi="Times New Roman" w:cs="Times New Roman"/>
          <w:sz w:val="24"/>
          <w:szCs w:val="24"/>
        </w:rPr>
        <w:t>Kai et.al., 2020</w:t>
      </w:r>
      <w:r w:rsidRPr="009872B0">
        <w:rPr>
          <w:rFonts w:ascii="Times New Roman" w:eastAsia="Calibri Light" w:hAnsi="Times New Roman" w:cs="Times New Roman"/>
          <w:sz w:val="24"/>
          <w:szCs w:val="24"/>
        </w:rPr>
        <w:t>) or if the observed levels of mask wearing in closed spaces are critical (</w:t>
      </w:r>
      <w:r w:rsidRPr="00F33902">
        <w:rPr>
          <w:rFonts w:ascii="Times New Roman" w:eastAsia="Calibri Light" w:hAnsi="Times New Roman" w:cs="Times New Roman"/>
          <w:sz w:val="24"/>
          <w:szCs w:val="24"/>
        </w:rPr>
        <w:t>Leech et. al., 2022</w:t>
      </w:r>
      <w:r w:rsidRPr="009872B0">
        <w:rPr>
          <w:rFonts w:ascii="Times New Roman" w:eastAsia="Calibri Light" w:hAnsi="Times New Roman" w:cs="Times New Roman"/>
          <w:sz w:val="24"/>
          <w:szCs w:val="24"/>
        </w:rPr>
        <w:t>). Some other hypothesis might raise the question of effectiveness of mask mandates in regions where commitment to face masks lacks cultural background (</w:t>
      </w:r>
      <w:r w:rsidRPr="00F33902">
        <w:rPr>
          <w:rFonts w:ascii="Times New Roman" w:eastAsia="Calibri Light" w:hAnsi="Times New Roman" w:cs="Times New Roman"/>
          <w:sz w:val="24"/>
          <w:szCs w:val="24"/>
        </w:rPr>
        <w:t>Barceló &amp; Sheen, 2020</w:t>
      </w:r>
      <w:r w:rsidRPr="009872B0">
        <w:rPr>
          <w:rFonts w:ascii="Times New Roman" w:eastAsia="Calibri Light" w:hAnsi="Times New Roman" w:cs="Times New Roman"/>
          <w:sz w:val="24"/>
          <w:szCs w:val="24"/>
        </w:rPr>
        <w:t xml:space="preserve">). Despite that conjectures, examining the predicted non efficiency of mask mandates in </w:t>
      </w:r>
      <w:r w:rsidRPr="009872B0">
        <w:rPr>
          <w:rFonts w:ascii="Times New Roman" w:eastAsia="Calibri Light" w:hAnsi="Times New Roman" w:cs="Times New Roman"/>
          <w:i/>
          <w:iCs/>
          <w:sz w:val="24"/>
          <w:szCs w:val="24"/>
        </w:rPr>
        <w:t>closed spaces</w:t>
      </w:r>
      <w:r w:rsidRPr="009872B0">
        <w:rPr>
          <w:rFonts w:ascii="Times New Roman" w:eastAsia="Calibri Light" w:hAnsi="Times New Roman" w:cs="Times New Roman"/>
          <w:sz w:val="24"/>
          <w:szCs w:val="24"/>
        </w:rPr>
        <w:t xml:space="preserve"> despite the high efficiency of </w:t>
      </w:r>
      <w:r w:rsidRPr="009872B0">
        <w:rPr>
          <w:rFonts w:ascii="Times New Roman" w:eastAsia="Calibri Light" w:hAnsi="Times New Roman" w:cs="Times New Roman"/>
          <w:i/>
          <w:iCs/>
          <w:sz w:val="24"/>
          <w:szCs w:val="24"/>
        </w:rPr>
        <w:t>all spaces</w:t>
      </w:r>
      <w:r w:rsidRPr="009872B0">
        <w:rPr>
          <w:rFonts w:ascii="Times New Roman" w:eastAsia="Calibri Light" w:hAnsi="Times New Roman" w:cs="Times New Roman"/>
          <w:sz w:val="24"/>
          <w:szCs w:val="24"/>
        </w:rPr>
        <w:t xml:space="preserve"> mask mandates might not be explained completely based on the abo</w:t>
      </w:r>
      <w:r w:rsidR="00550248">
        <w:rPr>
          <w:rFonts w:ascii="Times New Roman" w:eastAsia="Calibri Light" w:hAnsi="Times New Roman" w:cs="Times New Roman"/>
          <w:sz w:val="24"/>
          <w:szCs w:val="24"/>
        </w:rPr>
        <w:t xml:space="preserve">ve mentioned hypothesis nor </w:t>
      </w:r>
      <w:r w:rsidRPr="009872B0">
        <w:rPr>
          <w:rFonts w:ascii="Times New Roman" w:eastAsia="Calibri Light" w:hAnsi="Times New Roman" w:cs="Times New Roman"/>
          <w:sz w:val="24"/>
          <w:szCs w:val="24"/>
        </w:rPr>
        <w:t xml:space="preserve">within the framework of our </w:t>
      </w:r>
      <w:r w:rsidR="00C06E6B">
        <w:rPr>
          <w:rFonts w:ascii="Times New Roman" w:eastAsia="Calibri Light" w:hAnsi="Times New Roman" w:cs="Times New Roman"/>
          <w:sz w:val="24"/>
          <w:szCs w:val="24"/>
        </w:rPr>
        <w:t>analysis method</w:t>
      </w:r>
      <w:r w:rsidRPr="009872B0">
        <w:rPr>
          <w:rFonts w:ascii="Times New Roman" w:eastAsia="Calibri Light" w:hAnsi="Times New Roman" w:cs="Times New Roman"/>
          <w:sz w:val="24"/>
          <w:szCs w:val="24"/>
        </w:rPr>
        <w:t>. This might need more illuminations.</w:t>
      </w:r>
    </w:p>
    <w:p w:rsidR="00896D6C" w:rsidRPr="009872B0" w:rsidRDefault="00896D6C">
      <w:pPr>
        <w:spacing w:line="360" w:lineRule="auto"/>
        <w:jc w:val="both"/>
        <w:rPr>
          <w:rFonts w:ascii="Times New Roman" w:hAnsi="Times New Roman" w:cs="Times New Roman"/>
          <w:sz w:val="24"/>
          <w:szCs w:val="24"/>
        </w:rPr>
      </w:pPr>
    </w:p>
    <w:p w:rsidR="00896D6C" w:rsidRPr="009872B0" w:rsidRDefault="002D7DE5" w:rsidP="009D1995">
      <w:pPr>
        <w:keepNext/>
        <w:spacing w:line="360" w:lineRule="auto"/>
      </w:pPr>
      <w:r w:rsidRPr="009872B0">
        <w:rPr>
          <w:noProof/>
        </w:rPr>
        <w:lastRenderedPageBreak/>
        <w:drawing>
          <wp:inline distT="0" distB="0" distL="0" distR="0" wp14:anchorId="1C257F45" wp14:editId="65903675">
            <wp:extent cx="8001000" cy="774192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a:picLocks noChangeAspect="1"/>
                    </pic:cNvPicPr>
                  </pic:nvPicPr>
                  <pic:blipFill>
                    <a:blip r:embed="rId22"/>
                    <a:stretch/>
                  </pic:blipFill>
                  <pic:spPr bwMode="auto">
                    <a:xfrm>
                      <a:off x="0" y="0"/>
                      <a:ext cx="8001000" cy="7741920"/>
                    </a:xfrm>
                    <a:prstGeom prst="rect">
                      <a:avLst/>
                    </a:prstGeom>
                  </pic:spPr>
                </pic:pic>
              </a:graphicData>
            </a:graphic>
          </wp:inline>
        </w:drawing>
      </w:r>
    </w:p>
    <w:p w:rsidR="00896D6C" w:rsidRPr="009872B0" w:rsidRDefault="002D7DE5">
      <w:pPr>
        <w:pStyle w:val="Caption"/>
        <w:jc w:val="both"/>
        <w:rPr>
          <w:rFonts w:ascii="Times New Roman" w:hAnsi="Times New Roman" w:cs="Times New Roman"/>
          <w:i w:val="0"/>
          <w:iCs w:val="0"/>
          <w:color w:val="auto"/>
          <w:sz w:val="20"/>
          <w:szCs w:val="20"/>
        </w:rPr>
      </w:pPr>
      <w:r w:rsidRPr="00997D51">
        <w:rPr>
          <w:rFonts w:ascii="Times New Roman" w:hAnsi="Times New Roman" w:cs="Times New Roman"/>
          <w:i w:val="0"/>
          <w:iCs w:val="0"/>
          <w:color w:val="auto"/>
          <w:sz w:val="20"/>
          <w:szCs w:val="20"/>
        </w:rPr>
        <w:t>Figure 4</w:t>
      </w:r>
      <w:r w:rsidR="00997D51" w:rsidRPr="00997D51">
        <w:rPr>
          <w:rFonts w:ascii="Times New Roman" w:hAnsi="Times New Roman" w:cs="Times New Roman"/>
          <w:i w:val="0"/>
          <w:iCs w:val="0"/>
          <w:color w:val="auto"/>
          <w:sz w:val="20"/>
          <w:szCs w:val="20"/>
        </w:rPr>
        <w:t xml:space="preserve"> </w:t>
      </w:r>
      <w:r w:rsidR="00997D51" w:rsidRPr="00997D51">
        <w:rPr>
          <w:rFonts w:ascii="Times New Roman" w:hAnsi="Times New Roman" w:cs="Times New Roman"/>
          <w:i w:val="0"/>
          <w:iCs w:val="0"/>
          <w:sz w:val="20"/>
          <w:szCs w:val="20"/>
        </w:rPr>
        <w:t>(</w:t>
      </w:r>
      <w:r w:rsidR="00997D51" w:rsidRPr="00A41C1A">
        <w:rPr>
          <w:rFonts w:ascii="Times New Roman" w:hAnsi="Times New Roman" w:cs="Times New Roman"/>
          <w:i w:val="0"/>
          <w:iCs w:val="0"/>
          <w:sz w:val="20"/>
          <w:szCs w:val="20"/>
        </w:rPr>
        <w:t>high resolution image</w:t>
      </w:r>
      <w:r w:rsidR="00997D51" w:rsidRPr="00997D51">
        <w:rPr>
          <w:rFonts w:ascii="Times New Roman" w:hAnsi="Times New Roman" w:cs="Times New Roman"/>
          <w:i w:val="0"/>
          <w:iCs w:val="0"/>
          <w:sz w:val="20"/>
          <w:szCs w:val="20"/>
        </w:rPr>
        <w:t>)</w:t>
      </w:r>
      <w:r w:rsidRPr="00997D51">
        <w:rPr>
          <w:rFonts w:ascii="Times New Roman" w:hAnsi="Times New Roman" w:cs="Times New Roman"/>
          <w:i w:val="0"/>
          <w:iCs w:val="0"/>
          <w:color w:val="auto"/>
          <w:sz w:val="20"/>
          <w:szCs w:val="20"/>
        </w:rPr>
        <w:t>: Average</w:t>
      </w:r>
      <w:r w:rsidRPr="009872B0">
        <w:rPr>
          <w:rFonts w:ascii="Times New Roman" w:hAnsi="Times New Roman" w:cs="Times New Roman"/>
          <w:i w:val="0"/>
          <w:iCs w:val="0"/>
          <w:color w:val="auto"/>
          <w:sz w:val="20"/>
          <w:szCs w:val="20"/>
        </w:rPr>
        <w:t xml:space="preserve"> gains expressed in terms of difference of reproduction values, when activating each feature in each country</w:t>
      </w:r>
    </w:p>
    <w:p w:rsidR="00896D6C" w:rsidRPr="009872B0" w:rsidRDefault="002D7DE5">
      <w:pPr>
        <w:pStyle w:val="Heading3"/>
        <w:rPr>
          <w:rFonts w:ascii="Times New Roman" w:hAnsi="Times New Roman" w:cs="Times New Roman"/>
          <w:sz w:val="24"/>
          <w:szCs w:val="24"/>
        </w:rPr>
      </w:pPr>
      <w:r w:rsidRPr="009872B0">
        <w:rPr>
          <w:rFonts w:ascii="Times New Roman" w:hAnsi="Times New Roman" w:cs="Times New Roman"/>
          <w:sz w:val="24"/>
          <w:szCs w:val="24"/>
        </w:rPr>
        <w:lastRenderedPageBreak/>
        <w:t>4.4 Seasonality effect</w:t>
      </w:r>
    </w:p>
    <w:p w:rsidR="00896D6C" w:rsidRPr="009872B0" w:rsidRDefault="002D7DE5">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As explored in section 4.2, the role of the factor </w:t>
      </w:r>
      <w:r w:rsidRPr="009872B0">
        <w:rPr>
          <w:rFonts w:ascii="Times New Roman" w:hAnsi="Times New Roman" w:cs="Times New Roman"/>
          <w:i/>
          <w:iCs/>
          <w:sz w:val="24"/>
          <w:szCs w:val="24"/>
        </w:rPr>
        <w:t xml:space="preserve">month </w:t>
      </w:r>
      <w:r w:rsidRPr="009872B0">
        <w:rPr>
          <w:rFonts w:ascii="Times New Roman" w:hAnsi="Times New Roman" w:cs="Times New Roman"/>
          <w:sz w:val="24"/>
          <w:szCs w:val="24"/>
        </w:rPr>
        <w:t xml:space="preserve">(and consequently the role of the factor seasonality) stands on the top of the government NPIs and vaccination strategies but also higher than the role of virus variants. It seems that the seasonality effect has been rendering the overall dynamics of the pandemic into a </w:t>
      </w:r>
      <w:r w:rsidRPr="009872B0">
        <w:rPr>
          <w:rFonts w:ascii="Times New Roman" w:hAnsi="Times New Roman" w:cs="Times New Roman"/>
          <w:i/>
          <w:iCs/>
          <w:sz w:val="24"/>
          <w:szCs w:val="24"/>
        </w:rPr>
        <w:t>partially</w:t>
      </w:r>
      <w:r w:rsidRPr="009872B0">
        <w:rPr>
          <w:rFonts w:ascii="Times New Roman" w:hAnsi="Times New Roman" w:cs="Times New Roman"/>
          <w:sz w:val="24"/>
          <w:szCs w:val="24"/>
        </w:rPr>
        <w:t xml:space="preserve"> deterministic phenomenon out of influence sphere of other pandemic driving features. This necessitates more elaboration on that. Figure 5 illustrates the month wise computed PDPs meaning the counterfactual scenarios of all months of the year being set each time to a specific month ranging from 0 (December) to the 11 (November). In the figure 5, a specific period of the year for each country between the month 4 (April) until the month 9 (September) is light-red highlighted as it demonstrates the seasons where relatively belong to the warmer times within the year. What one can see is twofold, that </w:t>
      </w:r>
      <w:r w:rsidRPr="0038675F">
        <w:rPr>
          <w:rFonts w:ascii="Times New Roman" w:hAnsi="Times New Roman" w:cs="Times New Roman"/>
          <w:i/>
          <w:iCs/>
          <w:sz w:val="24"/>
          <w:szCs w:val="24"/>
        </w:rPr>
        <w:t>first</w:t>
      </w:r>
      <w:r w:rsidRPr="009872B0">
        <w:rPr>
          <w:rFonts w:ascii="Times New Roman" w:hAnsi="Times New Roman" w:cs="Times New Roman"/>
          <w:sz w:val="24"/>
          <w:szCs w:val="24"/>
        </w:rPr>
        <w:t xml:space="preserve">, the overall reproduction rates in the white area are significantly higher than those ones within the light red area. Second, in the most of the countries there is a pick in the virus spread around the </w:t>
      </w:r>
      <w:r w:rsidRPr="0038675F">
        <w:rPr>
          <w:rFonts w:ascii="Times New Roman" w:hAnsi="Times New Roman" w:cs="Times New Roman"/>
          <w:i/>
          <w:iCs/>
          <w:sz w:val="24"/>
          <w:szCs w:val="24"/>
        </w:rPr>
        <w:t>month 7</w:t>
      </w:r>
      <w:r w:rsidRPr="009872B0">
        <w:rPr>
          <w:rFonts w:ascii="Times New Roman" w:hAnsi="Times New Roman" w:cs="Times New Roman"/>
          <w:sz w:val="24"/>
          <w:szCs w:val="24"/>
        </w:rPr>
        <w:t xml:space="preserve"> (July). With reference to the predecessor literature, the role of seasonal trends has been explored in </w:t>
      </w:r>
      <w:proofErr w:type="spellStart"/>
      <w:r w:rsidRPr="009872B0">
        <w:rPr>
          <w:rFonts w:ascii="Times New Roman" w:hAnsi="Times New Roman" w:cs="Times New Roman"/>
          <w:sz w:val="24"/>
          <w:szCs w:val="24"/>
        </w:rPr>
        <w:t>Merow</w:t>
      </w:r>
      <w:proofErr w:type="spellEnd"/>
      <w:r w:rsidRPr="009872B0">
        <w:rPr>
          <w:rFonts w:ascii="Times New Roman" w:hAnsi="Times New Roman" w:cs="Times New Roman"/>
          <w:sz w:val="24"/>
          <w:szCs w:val="24"/>
        </w:rPr>
        <w:t xml:space="preserve"> and Urban (2020) and </w:t>
      </w:r>
      <w:proofErr w:type="spellStart"/>
      <w:r w:rsidRPr="009872B0">
        <w:rPr>
          <w:rFonts w:ascii="Times New Roman" w:hAnsi="Times New Roman" w:cs="Times New Roman"/>
          <w:sz w:val="24"/>
          <w:szCs w:val="24"/>
        </w:rPr>
        <w:t>Wiemken</w:t>
      </w:r>
      <w:proofErr w:type="spellEnd"/>
      <w:r w:rsidRPr="009872B0">
        <w:rPr>
          <w:rFonts w:ascii="Times New Roman" w:hAnsi="Times New Roman" w:cs="Times New Roman"/>
          <w:sz w:val="24"/>
          <w:szCs w:val="24"/>
        </w:rPr>
        <w:t xml:space="preserve"> et. al. (2023). </w:t>
      </w:r>
      <w:proofErr w:type="spellStart"/>
      <w:r w:rsidRPr="009872B0">
        <w:rPr>
          <w:rFonts w:ascii="Times New Roman" w:hAnsi="Times New Roman" w:cs="Times New Roman"/>
          <w:sz w:val="24"/>
          <w:szCs w:val="24"/>
        </w:rPr>
        <w:t>Merow</w:t>
      </w:r>
      <w:proofErr w:type="spellEnd"/>
      <w:r w:rsidRPr="009872B0">
        <w:rPr>
          <w:rFonts w:ascii="Times New Roman" w:hAnsi="Times New Roman" w:cs="Times New Roman"/>
          <w:sz w:val="24"/>
          <w:szCs w:val="24"/>
        </w:rPr>
        <w:t xml:space="preserve"> and Urban (2020) developed statistical models that predict the maximum potential of COVID-19 worldwide and throughout the year and predicted that COVID-19 will decrease temporarily during summer, rebound by autumn, and peak next winter. In a more recent study, </w:t>
      </w:r>
      <w:proofErr w:type="spellStart"/>
      <w:r w:rsidRPr="009872B0">
        <w:rPr>
          <w:rFonts w:ascii="Times New Roman" w:hAnsi="Times New Roman" w:cs="Times New Roman"/>
          <w:sz w:val="24"/>
          <w:szCs w:val="24"/>
        </w:rPr>
        <w:t>Wiemken</w:t>
      </w:r>
      <w:proofErr w:type="spellEnd"/>
      <w:r w:rsidRPr="009872B0">
        <w:rPr>
          <w:rFonts w:ascii="Times New Roman" w:hAnsi="Times New Roman" w:cs="Times New Roman"/>
          <w:sz w:val="24"/>
          <w:szCs w:val="24"/>
        </w:rPr>
        <w:t xml:space="preserve"> et. al. (2023) use time series decomposition to extract the annual seasonal component of COVID-19 case, hospitalization, and mortality rates from March 2020 through December 2022 for the United States and Europe and identify seasonal spikes in COVID-19 from approximately November through April for all outcomes and in all countries. These results are indeed to large extent in line with the predictions of the BCNN model. This result might confirm the predictions of aforementioned studies and contribute to inform public health policy to careful selection of prevention policies in the time periods distinguished in figure 5.</w:t>
      </w:r>
    </w:p>
    <w:p w:rsidR="00896D6C" w:rsidRPr="009872B0" w:rsidRDefault="002D7DE5">
      <w:pPr>
        <w:keepNext/>
        <w:spacing w:line="360" w:lineRule="auto"/>
      </w:pPr>
      <w:r w:rsidRPr="009872B0">
        <w:rPr>
          <w:noProof/>
        </w:rPr>
        <w:lastRenderedPageBreak/>
        <mc:AlternateContent>
          <mc:Choice Requires="wpg">
            <w:drawing>
              <wp:inline distT="0" distB="0" distL="0" distR="0" wp14:anchorId="68860FC7" wp14:editId="7A1826FF">
                <wp:extent cx="7543800" cy="7886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r:embed="rId23"/>
                        <a:stretch/>
                      </pic:blipFill>
                      <pic:spPr bwMode="auto">
                        <a:xfrm>
                          <a:off x="0" y="0"/>
                          <a:ext cx="7543800" cy="78867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594.0pt;height:621.0pt;" stroked="false">
                <v:path textboxrect="0,0,0,0"/>
                <v:imagedata r:id="rId32" o:title=""/>
              </v:shape>
            </w:pict>
          </mc:Fallback>
        </mc:AlternateContent>
      </w:r>
    </w:p>
    <w:p w:rsidR="00896D6C" w:rsidRPr="009872B0" w:rsidRDefault="002D7DE5">
      <w:pPr>
        <w:pStyle w:val="Caption"/>
        <w:jc w:val="both"/>
        <w:rPr>
          <w:rFonts w:ascii="Times New Roman" w:hAnsi="Times New Roman" w:cs="Times New Roman"/>
          <w:i w:val="0"/>
          <w:iCs w:val="0"/>
          <w:color w:val="auto"/>
          <w:sz w:val="20"/>
          <w:szCs w:val="20"/>
        </w:rPr>
      </w:pPr>
      <w:r w:rsidRPr="00383F2D">
        <w:rPr>
          <w:rFonts w:ascii="Times New Roman" w:hAnsi="Times New Roman" w:cs="Times New Roman"/>
          <w:i w:val="0"/>
          <w:iCs w:val="0"/>
          <w:color w:val="auto"/>
          <w:sz w:val="20"/>
          <w:szCs w:val="20"/>
        </w:rPr>
        <w:t>Figure 5</w:t>
      </w:r>
      <w:r w:rsidR="00383F2D" w:rsidRPr="00383F2D">
        <w:rPr>
          <w:rFonts w:ascii="Times New Roman" w:hAnsi="Times New Roman" w:cs="Times New Roman"/>
          <w:i w:val="0"/>
          <w:iCs w:val="0"/>
          <w:color w:val="auto"/>
          <w:sz w:val="20"/>
          <w:szCs w:val="20"/>
        </w:rPr>
        <w:t xml:space="preserve"> </w:t>
      </w:r>
      <w:r w:rsidR="00383F2D" w:rsidRPr="00383F2D">
        <w:rPr>
          <w:rFonts w:ascii="Times New Roman" w:hAnsi="Times New Roman" w:cs="Times New Roman"/>
          <w:i w:val="0"/>
          <w:iCs w:val="0"/>
          <w:sz w:val="20"/>
          <w:szCs w:val="20"/>
        </w:rPr>
        <w:t>(</w:t>
      </w:r>
      <w:r w:rsidR="00383F2D" w:rsidRPr="00A41C1A">
        <w:rPr>
          <w:rFonts w:ascii="Times New Roman" w:hAnsi="Times New Roman" w:cs="Times New Roman"/>
          <w:i w:val="0"/>
          <w:iCs w:val="0"/>
          <w:sz w:val="20"/>
          <w:szCs w:val="20"/>
        </w:rPr>
        <w:t>high resolution image</w:t>
      </w:r>
      <w:r w:rsidR="00383F2D" w:rsidRPr="00383F2D">
        <w:rPr>
          <w:rFonts w:ascii="Times New Roman" w:hAnsi="Times New Roman" w:cs="Times New Roman"/>
          <w:i w:val="0"/>
          <w:iCs w:val="0"/>
          <w:sz w:val="20"/>
          <w:szCs w:val="20"/>
        </w:rPr>
        <w:t>)</w:t>
      </w:r>
      <w:r w:rsidRPr="00383F2D">
        <w:rPr>
          <w:rFonts w:ascii="Times New Roman" w:hAnsi="Times New Roman" w:cs="Times New Roman"/>
          <w:i w:val="0"/>
          <w:iCs w:val="0"/>
          <w:color w:val="auto"/>
          <w:sz w:val="20"/>
          <w:szCs w:val="20"/>
        </w:rPr>
        <w:t>: Monthly predicted</w:t>
      </w:r>
      <w:r w:rsidRPr="009872B0">
        <w:rPr>
          <w:rFonts w:ascii="Times New Roman" w:hAnsi="Times New Roman" w:cs="Times New Roman"/>
          <w:i w:val="0"/>
          <w:iCs w:val="0"/>
          <w:color w:val="auto"/>
          <w:sz w:val="20"/>
          <w:szCs w:val="20"/>
        </w:rPr>
        <w:t xml:space="preserve"> average reproduction values for European countries </w:t>
      </w:r>
    </w:p>
    <w:p w:rsidR="00896D6C" w:rsidRPr="009872B0" w:rsidRDefault="002D7DE5">
      <w:pPr>
        <w:pStyle w:val="Heading2"/>
        <w:numPr>
          <w:ilvl w:val="0"/>
          <w:numId w:val="5"/>
        </w:numPr>
        <w:spacing w:line="360" w:lineRule="auto"/>
        <w:rPr>
          <w:rFonts w:ascii="Times New Roman" w:hAnsi="Times New Roman" w:cs="Times New Roman"/>
          <w:sz w:val="28"/>
          <w:szCs w:val="28"/>
        </w:rPr>
      </w:pPr>
      <w:r w:rsidRPr="009872B0">
        <w:rPr>
          <w:rFonts w:ascii="Times New Roman" w:hAnsi="Times New Roman" w:cs="Times New Roman"/>
          <w:sz w:val="28"/>
          <w:szCs w:val="28"/>
        </w:rPr>
        <w:lastRenderedPageBreak/>
        <w:t>Conclusion</w:t>
      </w:r>
    </w:p>
    <w:p w:rsidR="00896D6C" w:rsidRPr="009872B0" w:rsidRDefault="002D7DE5" w:rsidP="00901E5D">
      <w:pPr>
        <w:spacing w:line="360" w:lineRule="auto"/>
        <w:jc w:val="both"/>
        <w:rPr>
          <w:rFonts w:ascii="Times New Roman" w:hAnsi="Times New Roman" w:cs="Times New Roman"/>
          <w:sz w:val="24"/>
          <w:szCs w:val="24"/>
        </w:rPr>
      </w:pPr>
      <w:r w:rsidRPr="009872B0">
        <w:rPr>
          <w:rFonts w:ascii="Times New Roman" w:hAnsi="Times New Roman" w:cs="Times New Roman"/>
          <w:sz w:val="24"/>
          <w:szCs w:val="24"/>
        </w:rPr>
        <w:t xml:space="preserve">The research objective of our study was set out to understand the magnitude of efficacy of European countries’ SARS-CoV-2 intervention policies through a comprehensive feature analysis by applying a deep neural network. </w:t>
      </w:r>
      <w:r w:rsidR="00586E53">
        <w:rPr>
          <w:rFonts w:ascii="Times New Roman" w:hAnsi="Times New Roman" w:cs="Times New Roman"/>
          <w:sz w:val="24"/>
          <w:szCs w:val="24"/>
        </w:rPr>
        <w:t xml:space="preserve">Thereby, </w:t>
      </w:r>
      <w:r w:rsidR="00586E53" w:rsidRPr="009872B0">
        <w:rPr>
          <w:rFonts w:ascii="Times New Roman" w:hAnsi="Times New Roman" w:cs="Times New Roman"/>
          <w:sz w:val="24"/>
          <w:szCs w:val="24"/>
        </w:rPr>
        <w:t xml:space="preserve">we </w:t>
      </w:r>
      <w:r w:rsidR="00586E53">
        <w:rPr>
          <w:rFonts w:ascii="Times New Roman" w:hAnsi="Times New Roman" w:cs="Times New Roman"/>
          <w:sz w:val="24"/>
          <w:szCs w:val="24"/>
        </w:rPr>
        <w:t xml:space="preserve">converted </w:t>
      </w:r>
      <w:r w:rsidR="00586E53" w:rsidRPr="009872B0">
        <w:rPr>
          <w:rFonts w:ascii="Times New Roman" w:hAnsi="Times New Roman" w:cs="Times New Roman"/>
          <w:sz w:val="24"/>
          <w:szCs w:val="24"/>
        </w:rPr>
        <w:t>a comprehensive set of governments’</w:t>
      </w:r>
      <w:r w:rsidR="00586E53">
        <w:rPr>
          <w:rFonts w:ascii="Times New Roman" w:hAnsi="Times New Roman" w:cs="Times New Roman"/>
          <w:sz w:val="24"/>
          <w:szCs w:val="24"/>
        </w:rPr>
        <w:t xml:space="preserve"> policies</w:t>
      </w:r>
      <w:r w:rsidR="00586E53" w:rsidRPr="009872B0">
        <w:rPr>
          <w:rFonts w:ascii="Times New Roman" w:hAnsi="Times New Roman" w:cs="Times New Roman"/>
          <w:sz w:val="24"/>
          <w:szCs w:val="24"/>
        </w:rPr>
        <w:t xml:space="preserve"> NPIs as well a</w:t>
      </w:r>
      <w:r w:rsidR="00586E53">
        <w:rPr>
          <w:rFonts w:ascii="Times New Roman" w:hAnsi="Times New Roman" w:cs="Times New Roman"/>
          <w:sz w:val="24"/>
          <w:szCs w:val="24"/>
        </w:rPr>
        <w:t xml:space="preserve">s mass vaccination policies in addition to </w:t>
      </w:r>
      <w:r w:rsidR="00586E53" w:rsidRPr="009872B0">
        <w:rPr>
          <w:rFonts w:ascii="Times New Roman" w:hAnsi="Times New Roman" w:cs="Times New Roman"/>
          <w:sz w:val="24"/>
          <w:szCs w:val="24"/>
        </w:rPr>
        <w:t xml:space="preserve">the influence of </w:t>
      </w:r>
      <w:r w:rsidR="00586E53">
        <w:rPr>
          <w:rFonts w:ascii="Times New Roman" w:hAnsi="Times New Roman" w:cs="Times New Roman"/>
          <w:sz w:val="24"/>
          <w:szCs w:val="24"/>
        </w:rPr>
        <w:t xml:space="preserve">each </w:t>
      </w:r>
      <w:r w:rsidR="00586E53" w:rsidRPr="009872B0">
        <w:rPr>
          <w:rFonts w:ascii="Times New Roman" w:hAnsi="Times New Roman" w:cs="Times New Roman"/>
          <w:sz w:val="24"/>
          <w:szCs w:val="24"/>
        </w:rPr>
        <w:t xml:space="preserve">country, various virus </w:t>
      </w:r>
      <w:r w:rsidR="00586E53">
        <w:rPr>
          <w:rFonts w:ascii="Times New Roman" w:hAnsi="Times New Roman" w:cs="Times New Roman"/>
          <w:sz w:val="24"/>
          <w:szCs w:val="24"/>
        </w:rPr>
        <w:t>variant</w:t>
      </w:r>
      <w:r w:rsidR="00586E53" w:rsidRPr="009872B0">
        <w:rPr>
          <w:rFonts w:ascii="Times New Roman" w:hAnsi="Times New Roman" w:cs="Times New Roman"/>
          <w:sz w:val="24"/>
          <w:szCs w:val="24"/>
        </w:rPr>
        <w:t>s and seasonality aspects</w:t>
      </w:r>
      <w:r w:rsidR="00586E53">
        <w:rPr>
          <w:rFonts w:ascii="Times New Roman" w:hAnsi="Times New Roman" w:cs="Times New Roman"/>
          <w:sz w:val="24"/>
          <w:szCs w:val="24"/>
        </w:rPr>
        <w:t xml:space="preserve"> into the one dimensional image formats and we </w:t>
      </w:r>
      <w:r w:rsidR="00586E53" w:rsidRPr="009872B0">
        <w:rPr>
          <w:rFonts w:ascii="Times New Roman" w:hAnsi="Times New Roman" w:cs="Times New Roman"/>
          <w:sz w:val="24"/>
          <w:szCs w:val="24"/>
        </w:rPr>
        <w:t>explore</w:t>
      </w:r>
      <w:r w:rsidR="00586E53">
        <w:rPr>
          <w:rFonts w:ascii="Times New Roman" w:hAnsi="Times New Roman" w:cs="Times New Roman"/>
          <w:sz w:val="24"/>
          <w:szCs w:val="24"/>
        </w:rPr>
        <w:t>d</w:t>
      </w:r>
      <w:r w:rsidR="00586E53" w:rsidRPr="009872B0">
        <w:rPr>
          <w:rFonts w:ascii="Times New Roman" w:hAnsi="Times New Roman" w:cs="Times New Roman"/>
          <w:sz w:val="24"/>
          <w:szCs w:val="24"/>
        </w:rPr>
        <w:t xml:space="preserve"> the </w:t>
      </w:r>
      <w:r w:rsidR="00586E53">
        <w:rPr>
          <w:rFonts w:ascii="Times New Roman" w:hAnsi="Times New Roman" w:cs="Times New Roman"/>
          <w:sz w:val="24"/>
          <w:szCs w:val="24"/>
        </w:rPr>
        <w:t>impact</w:t>
      </w:r>
      <w:r w:rsidR="00586E53" w:rsidRPr="009872B0">
        <w:rPr>
          <w:rFonts w:ascii="Times New Roman" w:hAnsi="Times New Roman" w:cs="Times New Roman"/>
          <w:sz w:val="24"/>
          <w:szCs w:val="24"/>
        </w:rPr>
        <w:t xml:space="preserve"> of</w:t>
      </w:r>
      <w:r w:rsidR="00586E53">
        <w:rPr>
          <w:rFonts w:ascii="Times New Roman" w:hAnsi="Times New Roman" w:cs="Times New Roman"/>
          <w:sz w:val="24"/>
          <w:szCs w:val="24"/>
        </w:rPr>
        <w:t xml:space="preserve"> the set of the pandemic influential factors on the spread of the virus. </w:t>
      </w:r>
      <w:r w:rsidRPr="009872B0">
        <w:rPr>
          <w:rFonts w:ascii="Times New Roman" w:hAnsi="Times New Roman" w:cs="Times New Roman"/>
          <w:sz w:val="24"/>
          <w:szCs w:val="24"/>
        </w:rPr>
        <w:t xml:space="preserve">The BCNN model is shown to be capable to predict monthly based forward-looking reproduction rates of the pandemic in a </w:t>
      </w:r>
      <w:r w:rsidR="00586E53">
        <w:rPr>
          <w:rFonts w:ascii="Times New Roman" w:hAnsi="Times New Roman" w:cs="Times New Roman"/>
          <w:sz w:val="24"/>
          <w:szCs w:val="24"/>
        </w:rPr>
        <w:t xml:space="preserve">highly </w:t>
      </w:r>
      <w:r w:rsidRPr="009872B0">
        <w:rPr>
          <w:rFonts w:ascii="Times New Roman" w:hAnsi="Times New Roman" w:cs="Times New Roman"/>
          <w:sz w:val="24"/>
          <w:szCs w:val="24"/>
        </w:rPr>
        <w:t xml:space="preserve">precise manner given the explanatory variables. We assessed the permutation feature significance of </w:t>
      </w:r>
      <w:r w:rsidR="00901E5D">
        <w:rPr>
          <w:rFonts w:ascii="Times New Roman" w:hAnsi="Times New Roman" w:cs="Times New Roman"/>
          <w:sz w:val="24"/>
          <w:szCs w:val="24"/>
        </w:rPr>
        <w:t>a set</w:t>
      </w:r>
      <w:r w:rsidRPr="009872B0">
        <w:rPr>
          <w:rFonts w:ascii="Times New Roman" w:hAnsi="Times New Roman" w:cs="Times New Roman"/>
          <w:sz w:val="24"/>
          <w:szCs w:val="24"/>
        </w:rPr>
        <w:t xml:space="preserve"> of explanatory variables to realize which dynamics have greater degrees of influential on the virus spread. The model is then used to shed light on the partial improvements in terms of amelioration of the reproduction numbers. We did this by means of supposing counterfactual scenarios, where each of the explanatory variables becomes presumed to stay switched on all through the entire pandemic time. This is interesting that our analysis reveals similar patterns with regard to the magnitude of explanatory variables’ efficacy e.g. </w:t>
      </w:r>
      <w:r w:rsidR="00901E5D">
        <w:rPr>
          <w:rFonts w:ascii="Times New Roman" w:hAnsi="Times New Roman" w:cs="Times New Roman"/>
          <w:sz w:val="24"/>
          <w:szCs w:val="24"/>
        </w:rPr>
        <w:t xml:space="preserve">the impact of </w:t>
      </w:r>
      <w:r w:rsidRPr="009872B0">
        <w:rPr>
          <w:rFonts w:ascii="Times New Roman" w:hAnsi="Times New Roman" w:cs="Times New Roman"/>
          <w:sz w:val="24"/>
          <w:szCs w:val="24"/>
        </w:rPr>
        <w:t>seasonality trends</w:t>
      </w:r>
      <w:r w:rsidR="00901E5D">
        <w:rPr>
          <w:rFonts w:ascii="Times New Roman" w:hAnsi="Times New Roman" w:cs="Times New Roman"/>
          <w:sz w:val="24"/>
          <w:szCs w:val="24"/>
        </w:rPr>
        <w:t>, NPIs, vaccination and the variants</w:t>
      </w:r>
      <w:r w:rsidRPr="009872B0">
        <w:rPr>
          <w:rFonts w:ascii="Times New Roman" w:hAnsi="Times New Roman" w:cs="Times New Roman"/>
          <w:sz w:val="24"/>
          <w:szCs w:val="24"/>
        </w:rPr>
        <w:t xml:space="preserve"> of </w:t>
      </w:r>
      <w:r w:rsidR="00901E5D">
        <w:rPr>
          <w:rFonts w:ascii="Times New Roman" w:hAnsi="Times New Roman" w:cs="Times New Roman"/>
          <w:sz w:val="24"/>
          <w:szCs w:val="24"/>
        </w:rPr>
        <w:t xml:space="preserve">the </w:t>
      </w:r>
      <w:r w:rsidRPr="009872B0">
        <w:rPr>
          <w:rFonts w:ascii="Times New Roman" w:hAnsi="Times New Roman" w:cs="Times New Roman"/>
          <w:sz w:val="24"/>
          <w:szCs w:val="24"/>
        </w:rPr>
        <w:t xml:space="preserve">virus </w:t>
      </w:r>
      <w:r w:rsidR="00901E5D">
        <w:rPr>
          <w:rFonts w:ascii="Times New Roman" w:hAnsi="Times New Roman" w:cs="Times New Roman"/>
          <w:sz w:val="24"/>
          <w:szCs w:val="24"/>
        </w:rPr>
        <w:t xml:space="preserve">on the </w:t>
      </w:r>
      <w:r w:rsidRPr="009872B0">
        <w:rPr>
          <w:rFonts w:ascii="Times New Roman" w:hAnsi="Times New Roman" w:cs="Times New Roman"/>
          <w:sz w:val="24"/>
          <w:szCs w:val="24"/>
        </w:rPr>
        <w:t xml:space="preserve">spread </w:t>
      </w:r>
      <w:r w:rsidR="00901E5D">
        <w:rPr>
          <w:rFonts w:ascii="Times New Roman" w:hAnsi="Times New Roman" w:cs="Times New Roman"/>
          <w:sz w:val="24"/>
          <w:szCs w:val="24"/>
        </w:rPr>
        <w:t xml:space="preserve">of the pandemic </w:t>
      </w:r>
      <w:r w:rsidRPr="009872B0">
        <w:rPr>
          <w:rFonts w:ascii="Times New Roman" w:hAnsi="Times New Roman" w:cs="Times New Roman"/>
          <w:sz w:val="24"/>
          <w:szCs w:val="24"/>
        </w:rPr>
        <w:t>over 30 European countries. These similar insights might be informative to public health policy to appropriate selection of prevention policies. In the cases when a specific explanatory variable e.g. enforcing mask mandates in closed spaces shows partially comparable related predictive values in several countries, this might be inviting to further research and more deliberate at policy setting level. Despite targeting to be comprehensive, the analysis of this paper has its limits. It does not incorporate the degree of government's NPIs appliance or the degree of people's compliance with the governments’ NPIs interventions through different regions and phases of the pandemic. Furthermore, some intervention policies e.g. contact tracing measures data or the role of media and communication policies were not integrated in our data set. In addition, we might note that a deep learning model alike the BCNN model applied in this paper comprising 7,390,468 total parameters might still be seen as a black box approach</w:t>
      </w:r>
      <w:r w:rsidR="004722AB">
        <w:rPr>
          <w:rFonts w:ascii="Times New Roman" w:hAnsi="Times New Roman" w:cs="Times New Roman"/>
          <w:sz w:val="24"/>
          <w:szCs w:val="24"/>
        </w:rPr>
        <w:t xml:space="preserve"> and </w:t>
      </w:r>
      <w:r w:rsidR="004722AB" w:rsidRPr="009872B0">
        <w:rPr>
          <w:rFonts w:ascii="Times New Roman" w:hAnsi="Times New Roman" w:cs="Times New Roman"/>
          <w:sz w:val="24"/>
          <w:szCs w:val="24"/>
        </w:rPr>
        <w:t xml:space="preserve">might not be interpreted as a complete causative analysis. However, it can be used as a policy </w:t>
      </w:r>
      <w:r w:rsidR="004722AB">
        <w:rPr>
          <w:rFonts w:ascii="Times New Roman" w:hAnsi="Times New Roman" w:cs="Times New Roman"/>
          <w:sz w:val="24"/>
          <w:szCs w:val="24"/>
        </w:rPr>
        <w:t>relevant</w:t>
      </w:r>
      <w:r w:rsidR="004722AB" w:rsidRPr="009872B0">
        <w:rPr>
          <w:rFonts w:ascii="Times New Roman" w:hAnsi="Times New Roman" w:cs="Times New Roman"/>
          <w:sz w:val="24"/>
          <w:szCs w:val="24"/>
        </w:rPr>
        <w:t xml:space="preserve"> predictive tool </w:t>
      </w:r>
      <w:r w:rsidR="004722AB">
        <w:rPr>
          <w:rFonts w:ascii="Times New Roman" w:hAnsi="Times New Roman" w:cs="Times New Roman"/>
          <w:sz w:val="24"/>
          <w:szCs w:val="24"/>
        </w:rPr>
        <w:t>and it is</w:t>
      </w:r>
      <w:r w:rsidRPr="009872B0">
        <w:rPr>
          <w:rFonts w:ascii="Times New Roman" w:hAnsi="Times New Roman" w:cs="Times New Roman"/>
          <w:sz w:val="24"/>
          <w:szCs w:val="24"/>
        </w:rPr>
        <w:t xml:space="preserve"> required to be mixed with other analytical and qualitative methods to come out with policy relevant reliable explanations.</w:t>
      </w:r>
      <w:r w:rsidR="004722AB">
        <w:rPr>
          <w:rFonts w:ascii="Times New Roman" w:hAnsi="Times New Roman" w:cs="Times New Roman"/>
          <w:sz w:val="24"/>
          <w:szCs w:val="24"/>
        </w:rPr>
        <w:t xml:space="preserve"> </w:t>
      </w:r>
    </w:p>
    <w:p w:rsidR="00896D6C" w:rsidRPr="009872B0" w:rsidRDefault="002D7DE5">
      <w:pPr>
        <w:pStyle w:val="Heading2"/>
        <w:numPr>
          <w:ilvl w:val="0"/>
          <w:numId w:val="5"/>
        </w:numPr>
        <w:rPr>
          <w:rFonts w:ascii="Times New Roman" w:hAnsi="Times New Roman" w:cs="Times New Roman"/>
          <w:sz w:val="28"/>
          <w:szCs w:val="28"/>
        </w:rPr>
      </w:pPr>
      <w:r w:rsidRPr="009872B0">
        <w:rPr>
          <w:rFonts w:ascii="Times New Roman" w:hAnsi="Times New Roman" w:cs="Times New Roman"/>
          <w:sz w:val="28"/>
          <w:szCs w:val="28"/>
        </w:rPr>
        <w:lastRenderedPageBreak/>
        <w:t xml:space="preserve">Acknowledgement </w:t>
      </w:r>
    </w:p>
    <w:p w:rsidR="00896D6C" w:rsidRPr="009872B0" w:rsidRDefault="00896D6C" w:rsidP="006F52E4">
      <w:pPr>
        <w:jc w:val="both"/>
        <w:rPr>
          <w:rFonts w:ascii="Times New Roman" w:hAnsi="Times New Roman" w:cs="Times New Roman"/>
          <w:sz w:val="24"/>
          <w:szCs w:val="24"/>
        </w:rPr>
      </w:pPr>
    </w:p>
    <w:p w:rsidR="00896D6C" w:rsidRPr="009872B0" w:rsidRDefault="002D7DE5">
      <w:pPr>
        <w:pStyle w:val="Heading2"/>
        <w:numPr>
          <w:ilvl w:val="0"/>
          <w:numId w:val="5"/>
        </w:numPr>
        <w:rPr>
          <w:rFonts w:ascii="Times New Roman" w:hAnsi="Times New Roman" w:cs="Times New Roman"/>
          <w:sz w:val="28"/>
          <w:szCs w:val="28"/>
        </w:rPr>
      </w:pPr>
      <w:r w:rsidRPr="009872B0">
        <w:rPr>
          <w:rFonts w:ascii="Times New Roman" w:hAnsi="Times New Roman" w:cs="Times New Roman"/>
          <w:sz w:val="28"/>
          <w:szCs w:val="28"/>
        </w:rPr>
        <w:t>Supplementary material</w:t>
      </w:r>
    </w:p>
    <w:p w:rsidR="00896D6C" w:rsidRPr="009872B0" w:rsidRDefault="00896D6C" w:rsidP="006F52E4">
      <w:pPr>
        <w:jc w:val="both"/>
        <w:rPr>
          <w:rFonts w:ascii="Times New Roman" w:eastAsia="Arial" w:hAnsi="Times New Roman" w:cs="Times New Roman"/>
          <w:sz w:val="24"/>
          <w:szCs w:val="24"/>
        </w:rPr>
      </w:pPr>
    </w:p>
    <w:p w:rsidR="00896D6C" w:rsidRPr="009872B0" w:rsidRDefault="002D7DE5">
      <w:pPr>
        <w:pStyle w:val="Heading2"/>
        <w:numPr>
          <w:ilvl w:val="0"/>
          <w:numId w:val="5"/>
        </w:numPr>
        <w:spacing w:line="360" w:lineRule="auto"/>
        <w:rPr>
          <w:rFonts w:ascii="Times New Roman" w:hAnsi="Times New Roman" w:cs="Times New Roman"/>
          <w:sz w:val="28"/>
          <w:szCs w:val="28"/>
        </w:rPr>
      </w:pPr>
      <w:r w:rsidRPr="009872B0">
        <w:rPr>
          <w:rFonts w:ascii="Times New Roman" w:hAnsi="Times New Roman" w:cs="Times New Roman"/>
          <w:sz w:val="28"/>
          <w:szCs w:val="28"/>
        </w:rPr>
        <w:t>References</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Alex </w:t>
      </w:r>
      <w:proofErr w:type="spellStart"/>
      <w:r w:rsidRPr="00F606F7">
        <w:rPr>
          <w:rFonts w:ascii="Times New Roman" w:hAnsi="Times New Roman" w:cs="Times New Roman"/>
        </w:rPr>
        <w:t>Krizhevsky</w:t>
      </w:r>
      <w:proofErr w:type="spellEnd"/>
      <w:r w:rsidRPr="00F606F7">
        <w:rPr>
          <w:rFonts w:ascii="Times New Roman" w:hAnsi="Times New Roman" w:cs="Times New Roman"/>
        </w:rPr>
        <w:t xml:space="preserve">, Ilya </w:t>
      </w:r>
      <w:proofErr w:type="spellStart"/>
      <w:r w:rsidRPr="00F606F7">
        <w:rPr>
          <w:rFonts w:ascii="Times New Roman" w:hAnsi="Times New Roman" w:cs="Times New Roman"/>
        </w:rPr>
        <w:t>Sutskever</w:t>
      </w:r>
      <w:proofErr w:type="spellEnd"/>
      <w:r w:rsidRPr="00F606F7">
        <w:rPr>
          <w:rFonts w:ascii="Times New Roman" w:hAnsi="Times New Roman" w:cs="Times New Roman"/>
        </w:rPr>
        <w:t xml:space="preserve">, and Geoffrey E Hinton. </w:t>
      </w:r>
      <w:proofErr w:type="spellStart"/>
      <w:r w:rsidRPr="00F606F7">
        <w:rPr>
          <w:rFonts w:ascii="Times New Roman" w:hAnsi="Times New Roman" w:cs="Times New Roman"/>
        </w:rPr>
        <w:t>Imagenet</w:t>
      </w:r>
      <w:proofErr w:type="spellEnd"/>
      <w:r w:rsidRPr="00F606F7">
        <w:rPr>
          <w:rFonts w:ascii="Times New Roman" w:hAnsi="Times New Roman" w:cs="Times New Roman"/>
        </w:rPr>
        <w:t xml:space="preserve"> classification with deep convolutional neural networks. In Advances in neural information processing systems, pages 1097–1105, 2012.</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hAnsi="Times New Roman" w:cs="Times New Roman"/>
        </w:rPr>
        <w:t>Binggui</w:t>
      </w:r>
      <w:proofErr w:type="spellEnd"/>
      <w:r w:rsidRPr="00F606F7">
        <w:rPr>
          <w:rFonts w:ascii="Times New Roman" w:hAnsi="Times New Roman" w:cs="Times New Roman"/>
        </w:rPr>
        <w:t xml:space="preserve"> Zhou, </w:t>
      </w:r>
      <w:proofErr w:type="spellStart"/>
      <w:r w:rsidRPr="00F606F7">
        <w:rPr>
          <w:rFonts w:ascii="Times New Roman" w:hAnsi="Times New Roman" w:cs="Times New Roman"/>
        </w:rPr>
        <w:t>Guanghua</w:t>
      </w:r>
      <w:proofErr w:type="spellEnd"/>
      <w:r w:rsidRPr="00F606F7">
        <w:rPr>
          <w:rFonts w:ascii="Times New Roman" w:hAnsi="Times New Roman" w:cs="Times New Roman"/>
        </w:rPr>
        <w:t xml:space="preserve"> Yang, Zheng Shi, </w:t>
      </w:r>
      <w:proofErr w:type="spellStart"/>
      <w:r w:rsidRPr="00F606F7">
        <w:rPr>
          <w:rFonts w:ascii="Times New Roman" w:hAnsi="Times New Roman" w:cs="Times New Roman"/>
        </w:rPr>
        <w:t>Shaodan</w:t>
      </w:r>
      <w:proofErr w:type="spellEnd"/>
      <w:r w:rsidRPr="00F606F7">
        <w:rPr>
          <w:rFonts w:ascii="Times New Roman" w:hAnsi="Times New Roman" w:cs="Times New Roman"/>
        </w:rPr>
        <w:t xml:space="preserve"> Ma, Interpretable Temporal Attention Network for COVID-19 forecasting, Applied Soft Computing, Volume 120, 2022, 108691, ISSN 1568-4946, </w:t>
      </w:r>
      <w:hyperlink r:id="rId33" w:tooltip="https://doi.org/10.1016/j.asoc.2022.108691" w:history="1">
        <w:r w:rsidRPr="00F606F7">
          <w:rPr>
            <w:rStyle w:val="Hyperlink"/>
            <w:rFonts w:ascii="Times New Roman" w:hAnsi="Times New Roman" w:cs="Times New Roman"/>
            <w:color w:val="auto"/>
          </w:rPr>
          <w:t>https://doi.org/10.1016/j.asoc.2022.108691</w:t>
        </w:r>
      </w:hyperlink>
      <w:r w:rsidRPr="00F606F7">
        <w:rPr>
          <w:rFonts w:ascii="Times New Roman" w:hAnsi="Times New Roman" w:cs="Times New Roman"/>
        </w:rPr>
        <w:t>.</w:t>
      </w:r>
    </w:p>
    <w:p w:rsidR="00896D6C" w:rsidRPr="00F606F7" w:rsidRDefault="002D7DE5" w:rsidP="00413D81">
      <w:pPr>
        <w:spacing w:line="240" w:lineRule="auto"/>
        <w:jc w:val="both"/>
        <w:rPr>
          <w:rFonts w:ascii="Times New Roman" w:hAnsi="Times New Roman" w:cs="Times New Roman"/>
        </w:rPr>
      </w:pPr>
      <w:proofErr w:type="spellStart"/>
      <w:r w:rsidRPr="00F606F7">
        <w:rPr>
          <w:rFonts w:ascii="Times New Roman" w:eastAsia="Times New Roman" w:hAnsi="Times New Roman" w:cs="Times New Roman"/>
        </w:rPr>
        <w:t>Banholzer</w:t>
      </w:r>
      <w:proofErr w:type="spellEnd"/>
      <w:r w:rsidRPr="00F606F7">
        <w:rPr>
          <w:rFonts w:ascii="Times New Roman" w:eastAsia="Times New Roman" w:hAnsi="Times New Roman" w:cs="Times New Roman"/>
        </w:rPr>
        <w:t xml:space="preserve">, N., </w:t>
      </w:r>
      <w:proofErr w:type="spellStart"/>
      <w:r w:rsidRPr="00F606F7">
        <w:rPr>
          <w:rFonts w:ascii="Times New Roman" w:eastAsia="Times New Roman" w:hAnsi="Times New Roman" w:cs="Times New Roman"/>
        </w:rPr>
        <w:t>Feuerriegel</w:t>
      </w:r>
      <w:proofErr w:type="spellEnd"/>
      <w:r w:rsidRPr="00F606F7">
        <w:rPr>
          <w:rFonts w:ascii="Times New Roman" w:eastAsia="Times New Roman" w:hAnsi="Times New Roman" w:cs="Times New Roman"/>
        </w:rPr>
        <w:t xml:space="preserve">, S. &amp; </w:t>
      </w:r>
      <w:proofErr w:type="spellStart"/>
      <w:r w:rsidRPr="00F606F7">
        <w:rPr>
          <w:rFonts w:ascii="Times New Roman" w:eastAsia="Times New Roman" w:hAnsi="Times New Roman" w:cs="Times New Roman"/>
        </w:rPr>
        <w:t>Vach</w:t>
      </w:r>
      <w:proofErr w:type="spellEnd"/>
      <w:r w:rsidRPr="00F606F7">
        <w:rPr>
          <w:rFonts w:ascii="Times New Roman" w:eastAsia="Times New Roman" w:hAnsi="Times New Roman" w:cs="Times New Roman"/>
        </w:rPr>
        <w:t xml:space="preserve">, W. Estimating and explaining cross-country variation in the effectiveness of non-pharmaceutical interventions during COVID-19. </w:t>
      </w:r>
      <w:proofErr w:type="spellStart"/>
      <w:r w:rsidRPr="00F606F7">
        <w:rPr>
          <w:rFonts w:ascii="Times New Roman" w:eastAsia="Times New Roman" w:hAnsi="Times New Roman" w:cs="Times New Roman"/>
        </w:rPr>
        <w:t>Sci</w:t>
      </w:r>
      <w:proofErr w:type="spellEnd"/>
      <w:r w:rsidRPr="00F606F7">
        <w:rPr>
          <w:rFonts w:ascii="Times New Roman" w:eastAsia="Times New Roman" w:hAnsi="Times New Roman" w:cs="Times New Roman"/>
        </w:rPr>
        <w:t xml:space="preserve"> Rep 12, 7526 (2022). </w:t>
      </w:r>
      <w:hyperlink r:id="rId34" w:tooltip="https://doi.org/10.1038/s41598-022-11362-x" w:history="1">
        <w:r w:rsidRPr="00F606F7">
          <w:rPr>
            <w:rStyle w:val="Hyperlink"/>
            <w:rFonts w:ascii="Times New Roman" w:eastAsia="Times New Roman" w:hAnsi="Times New Roman" w:cs="Times New Roman"/>
            <w:color w:val="auto"/>
          </w:rPr>
          <w:t>https://doi.org/10.1038/s41598-022-11362-x</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Barceló J, Sheen GC. Voluntary adoption of social welfare-enhancing behavior: Mask-wearing in Spain during the COVID-19 outbreak. </w:t>
      </w:r>
      <w:proofErr w:type="spellStart"/>
      <w:r w:rsidRPr="00F606F7">
        <w:rPr>
          <w:rFonts w:ascii="Times New Roman" w:eastAsia="Times New Roman" w:hAnsi="Times New Roman" w:cs="Times New Roman"/>
        </w:rPr>
        <w:t>PLoS</w:t>
      </w:r>
      <w:proofErr w:type="spellEnd"/>
      <w:r w:rsidRPr="00F606F7">
        <w:rPr>
          <w:rFonts w:ascii="Times New Roman" w:eastAsia="Times New Roman" w:hAnsi="Times New Roman" w:cs="Times New Roman"/>
        </w:rPr>
        <w:t xml:space="preserve"> One. 2020 Dec 1;15(12</w:t>
      </w:r>
      <w:proofErr w:type="gramStart"/>
      <w:r w:rsidRPr="00F606F7">
        <w:rPr>
          <w:rFonts w:ascii="Times New Roman" w:eastAsia="Times New Roman" w:hAnsi="Times New Roman" w:cs="Times New Roman"/>
        </w:rPr>
        <w:t>):e</w:t>
      </w:r>
      <w:proofErr w:type="gramEnd"/>
      <w:r w:rsidRPr="00F606F7">
        <w:rPr>
          <w:rFonts w:ascii="Times New Roman" w:eastAsia="Times New Roman" w:hAnsi="Times New Roman" w:cs="Times New Roman"/>
        </w:rPr>
        <w:t xml:space="preserve">0242764. </w:t>
      </w:r>
      <w:proofErr w:type="spellStart"/>
      <w:r w:rsidRPr="00F606F7">
        <w:rPr>
          <w:rFonts w:ascii="Times New Roman" w:eastAsia="Times New Roman" w:hAnsi="Times New Roman" w:cs="Times New Roman"/>
        </w:rPr>
        <w:t>doi</w:t>
      </w:r>
      <w:proofErr w:type="spellEnd"/>
      <w:r w:rsidRPr="00F606F7">
        <w:rPr>
          <w:rFonts w:ascii="Times New Roman" w:eastAsia="Times New Roman" w:hAnsi="Times New Roman" w:cs="Times New Roman"/>
        </w:rPr>
        <w:t>: 10.1371/journal.pone.0242764. PMID: 33259531; PMCID: PMC7707551.</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proofErr w:type="spellStart"/>
      <w:r w:rsidRPr="00F606F7">
        <w:rPr>
          <w:rFonts w:ascii="Times New Roman" w:eastAsia="Times New Roman" w:hAnsi="Times New Roman" w:cs="Times New Roman"/>
        </w:rPr>
        <w:t>ByAlicia</w:t>
      </w:r>
      <w:proofErr w:type="spellEnd"/>
      <w:r w:rsidRPr="00F606F7">
        <w:rPr>
          <w:rFonts w:ascii="Times New Roman" w:eastAsia="Times New Roman" w:hAnsi="Times New Roman" w:cs="Times New Roman"/>
        </w:rPr>
        <w:t xml:space="preserve"> A. Johnson, Miles Q. </w:t>
      </w:r>
      <w:proofErr w:type="spellStart"/>
      <w:r w:rsidRPr="00F606F7">
        <w:rPr>
          <w:rFonts w:ascii="Times New Roman" w:eastAsia="Times New Roman" w:hAnsi="Times New Roman" w:cs="Times New Roman"/>
        </w:rPr>
        <w:t>Ott</w:t>
      </w:r>
      <w:proofErr w:type="spellEnd"/>
      <w:r w:rsidRPr="00F606F7">
        <w:rPr>
          <w:rFonts w:ascii="Times New Roman" w:eastAsia="Times New Roman" w:hAnsi="Times New Roman" w:cs="Times New Roman"/>
        </w:rPr>
        <w:t xml:space="preserve">, Mine </w:t>
      </w:r>
      <w:proofErr w:type="spellStart"/>
      <w:r w:rsidRPr="00F606F7">
        <w:rPr>
          <w:rFonts w:ascii="Times New Roman" w:eastAsia="Times New Roman" w:hAnsi="Times New Roman" w:cs="Times New Roman"/>
        </w:rPr>
        <w:t>Dogucu</w:t>
      </w:r>
      <w:proofErr w:type="spellEnd"/>
      <w:r w:rsidRPr="00F606F7">
        <w:rPr>
          <w:rFonts w:ascii="Times New Roman" w:eastAsia="Times New Roman" w:hAnsi="Times New Roman" w:cs="Times New Roman"/>
        </w:rPr>
        <w:t xml:space="preserve">. Bayes Rules! An Introduction to Applied Bayesian Modeling </w:t>
      </w:r>
      <w:hyperlink r:id="rId35" w:tooltip="https://doi.org/10.1201/9780429288340" w:history="1">
        <w:r w:rsidRPr="00F606F7">
          <w:rPr>
            <w:rStyle w:val="Hyperlink"/>
            <w:rFonts w:ascii="Times New Roman" w:eastAsia="Times New Roman" w:hAnsi="Times New Roman" w:cs="Times New Roman"/>
            <w:color w:val="auto"/>
          </w:rPr>
          <w:t>https://doi.org/10.1201/9780429288340</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Christian </w:t>
      </w:r>
      <w:proofErr w:type="spellStart"/>
      <w:r w:rsidRPr="00F606F7">
        <w:rPr>
          <w:rFonts w:ascii="Times New Roman" w:hAnsi="Times New Roman" w:cs="Times New Roman"/>
        </w:rPr>
        <w:t>Szegedy</w:t>
      </w:r>
      <w:proofErr w:type="spellEnd"/>
      <w:r w:rsidRPr="00F606F7">
        <w:rPr>
          <w:rFonts w:ascii="Times New Roman" w:hAnsi="Times New Roman" w:cs="Times New Roman"/>
        </w:rPr>
        <w:t xml:space="preserve">, Wei Liu, </w:t>
      </w:r>
      <w:proofErr w:type="spellStart"/>
      <w:r w:rsidRPr="00F606F7">
        <w:rPr>
          <w:rFonts w:ascii="Times New Roman" w:hAnsi="Times New Roman" w:cs="Times New Roman"/>
        </w:rPr>
        <w:t>Yangqing</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Jia</w:t>
      </w:r>
      <w:proofErr w:type="spellEnd"/>
      <w:r w:rsidRPr="00F606F7">
        <w:rPr>
          <w:rFonts w:ascii="Times New Roman" w:hAnsi="Times New Roman" w:cs="Times New Roman"/>
        </w:rPr>
        <w:t xml:space="preserve">, Pierre </w:t>
      </w:r>
      <w:proofErr w:type="spellStart"/>
      <w:r w:rsidRPr="00F606F7">
        <w:rPr>
          <w:rFonts w:ascii="Times New Roman" w:hAnsi="Times New Roman" w:cs="Times New Roman"/>
        </w:rPr>
        <w:t>Sermanet</w:t>
      </w:r>
      <w:proofErr w:type="spellEnd"/>
      <w:r w:rsidRPr="00F606F7">
        <w:rPr>
          <w:rFonts w:ascii="Times New Roman" w:hAnsi="Times New Roman" w:cs="Times New Roman"/>
        </w:rPr>
        <w:t xml:space="preserve">, Scott Reed, </w:t>
      </w:r>
      <w:proofErr w:type="spellStart"/>
      <w:r w:rsidRPr="00F606F7">
        <w:rPr>
          <w:rFonts w:ascii="Times New Roman" w:hAnsi="Times New Roman" w:cs="Times New Roman"/>
        </w:rPr>
        <w:t>Dragomir</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Anguelov</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Dumitru</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Erhan</w:t>
      </w:r>
      <w:proofErr w:type="spellEnd"/>
      <w:r w:rsidRPr="00F606F7">
        <w:rPr>
          <w:rFonts w:ascii="Times New Roman" w:hAnsi="Times New Roman" w:cs="Times New Roman"/>
        </w:rPr>
        <w:t xml:space="preserve">, Vincent </w:t>
      </w:r>
      <w:proofErr w:type="spellStart"/>
      <w:r w:rsidRPr="00F606F7">
        <w:rPr>
          <w:rFonts w:ascii="Times New Roman" w:hAnsi="Times New Roman" w:cs="Times New Roman"/>
        </w:rPr>
        <w:t>Vanhoucke</w:t>
      </w:r>
      <w:proofErr w:type="spellEnd"/>
      <w:r w:rsidRPr="00F606F7">
        <w:rPr>
          <w:rFonts w:ascii="Times New Roman" w:hAnsi="Times New Roman" w:cs="Times New Roman"/>
        </w:rPr>
        <w:t xml:space="preserve">, and Andrew </w:t>
      </w:r>
      <w:proofErr w:type="spellStart"/>
      <w:r w:rsidRPr="00F606F7">
        <w:rPr>
          <w:rFonts w:ascii="Times New Roman" w:hAnsi="Times New Roman" w:cs="Times New Roman"/>
        </w:rPr>
        <w:t>Rabinovich</w:t>
      </w:r>
      <w:proofErr w:type="spellEnd"/>
      <w:r w:rsidRPr="00F606F7">
        <w:rPr>
          <w:rFonts w:ascii="Times New Roman" w:hAnsi="Times New Roman" w:cs="Times New Roman"/>
        </w:rPr>
        <w:t xml:space="preserve">. Going deeper with convolutions. </w:t>
      </w:r>
      <w:proofErr w:type="spellStart"/>
      <w:r w:rsidRPr="00F606F7">
        <w:rPr>
          <w:rFonts w:ascii="Times New Roman" w:hAnsi="Times New Roman" w:cs="Times New Roman"/>
        </w:rPr>
        <w:t>arXiv</w:t>
      </w:r>
      <w:proofErr w:type="spellEnd"/>
      <w:r w:rsidRPr="00F606F7">
        <w:rPr>
          <w:rFonts w:ascii="Times New Roman" w:hAnsi="Times New Roman" w:cs="Times New Roman"/>
        </w:rPr>
        <w:t xml:space="preserve"> preprint arXiv:1409.4842, 2014.</w:t>
      </w:r>
    </w:p>
    <w:p w:rsidR="00F606F7" w:rsidRPr="00F606F7" w:rsidRDefault="00F606F7"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hAnsi="Times New Roman" w:cs="Times New Roman"/>
        </w:rPr>
        <w:t>Chirwa</w:t>
      </w:r>
      <w:proofErr w:type="spellEnd"/>
      <w:r w:rsidRPr="00F606F7">
        <w:rPr>
          <w:rFonts w:ascii="Times New Roman" w:hAnsi="Times New Roman" w:cs="Times New Roman"/>
        </w:rPr>
        <w:t xml:space="preserve">, G.C., </w:t>
      </w:r>
      <w:proofErr w:type="spellStart"/>
      <w:r w:rsidRPr="00F606F7">
        <w:rPr>
          <w:rFonts w:ascii="Times New Roman" w:hAnsi="Times New Roman" w:cs="Times New Roman"/>
        </w:rPr>
        <w:t>Zonda</w:t>
      </w:r>
      <w:proofErr w:type="spellEnd"/>
      <w:r w:rsidRPr="00F606F7">
        <w:rPr>
          <w:rFonts w:ascii="Times New Roman" w:hAnsi="Times New Roman" w:cs="Times New Roman"/>
        </w:rPr>
        <w:t xml:space="preserve">, J.M., </w:t>
      </w:r>
      <w:proofErr w:type="spellStart"/>
      <w:r w:rsidRPr="00F606F7">
        <w:rPr>
          <w:rFonts w:ascii="Times New Roman" w:hAnsi="Times New Roman" w:cs="Times New Roman"/>
        </w:rPr>
        <w:t>Mosiwa</w:t>
      </w:r>
      <w:proofErr w:type="spellEnd"/>
      <w:r w:rsidRPr="00F606F7">
        <w:rPr>
          <w:rFonts w:ascii="Times New Roman" w:hAnsi="Times New Roman" w:cs="Times New Roman"/>
        </w:rPr>
        <w:t xml:space="preserve">, S.S. et al. Effect of government intervention in relation to COVID-19 cases and deaths in Malawi. </w:t>
      </w:r>
      <w:proofErr w:type="spellStart"/>
      <w:r w:rsidRPr="00F606F7">
        <w:rPr>
          <w:rFonts w:ascii="Times New Roman" w:hAnsi="Times New Roman" w:cs="Times New Roman"/>
        </w:rPr>
        <w:t>Humanit</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Soc</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Sci</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Commun</w:t>
      </w:r>
      <w:proofErr w:type="spellEnd"/>
      <w:r w:rsidRPr="00F606F7">
        <w:rPr>
          <w:rFonts w:ascii="Times New Roman" w:hAnsi="Times New Roman" w:cs="Times New Roman"/>
        </w:rPr>
        <w:t xml:space="preserve"> 10, 335 (2023). </w:t>
      </w:r>
      <w:hyperlink r:id="rId36" w:history="1">
        <w:r w:rsidRPr="00F606F7">
          <w:rPr>
            <w:rStyle w:val="Hyperlink"/>
            <w:rFonts w:ascii="Times New Roman" w:hAnsi="Times New Roman" w:cs="Times New Roman"/>
            <w:color w:val="auto"/>
          </w:rPr>
          <w:t>https://doi.org/10.1057/s41599-023-01821-9</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Cory </w:t>
      </w:r>
      <w:proofErr w:type="spellStart"/>
      <w:r w:rsidRPr="00F606F7">
        <w:rPr>
          <w:rFonts w:ascii="Times New Roman" w:hAnsi="Times New Roman" w:cs="Times New Roman"/>
        </w:rPr>
        <w:t>Merow</w:t>
      </w:r>
      <w:proofErr w:type="spellEnd"/>
      <w:r w:rsidRPr="00F606F7">
        <w:rPr>
          <w:rFonts w:ascii="Times New Roman" w:hAnsi="Times New Roman" w:cs="Times New Roman"/>
        </w:rPr>
        <w:t xml:space="preserve"> and Mark C. 2020. Urban, Seasonality and uncertainty in global COVID-19 growth rates, Proceedings of the National Academy of Sciences, 117(44): 27456-27464. </w:t>
      </w:r>
      <w:proofErr w:type="spellStart"/>
      <w:r w:rsidRPr="00F606F7">
        <w:rPr>
          <w:rFonts w:ascii="Times New Roman" w:hAnsi="Times New Roman" w:cs="Times New Roman"/>
        </w:rPr>
        <w:t>doi</w:t>
      </w:r>
      <w:proofErr w:type="spellEnd"/>
      <w:r w:rsidRPr="00F606F7">
        <w:rPr>
          <w:rFonts w:ascii="Times New Roman" w:hAnsi="Times New Roman" w:cs="Times New Roman"/>
        </w:rPr>
        <w:t>: 10.1073/pnas.2008590117</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David JC MacKay. A practical Bayesian framework for backpropagation networks. Neural computation, 4(3):448–472, 1992.</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Duane, </w:t>
      </w:r>
      <w:proofErr w:type="gramStart"/>
      <w:r w:rsidRPr="00F606F7">
        <w:rPr>
          <w:rFonts w:ascii="Times New Roman" w:eastAsia="Times New Roman" w:hAnsi="Times New Roman" w:cs="Times New Roman"/>
        </w:rPr>
        <w:t>Simon ;</w:t>
      </w:r>
      <w:proofErr w:type="gramEnd"/>
      <w:r w:rsidRPr="00F606F7">
        <w:rPr>
          <w:rFonts w:ascii="Times New Roman" w:eastAsia="Times New Roman" w:hAnsi="Times New Roman" w:cs="Times New Roman"/>
        </w:rPr>
        <w:t xml:space="preserve"> Kennedy, A. D. ; Pendleton, Brian J. ; </w:t>
      </w:r>
      <w:proofErr w:type="spellStart"/>
      <w:r w:rsidRPr="00F606F7">
        <w:rPr>
          <w:rFonts w:ascii="Times New Roman" w:eastAsia="Times New Roman" w:hAnsi="Times New Roman" w:cs="Times New Roman"/>
        </w:rPr>
        <w:t>Roweth</w:t>
      </w:r>
      <w:proofErr w:type="spellEnd"/>
      <w:r w:rsidRPr="00F606F7">
        <w:rPr>
          <w:rFonts w:ascii="Times New Roman" w:eastAsia="Times New Roman" w:hAnsi="Times New Roman" w:cs="Times New Roman"/>
        </w:rPr>
        <w:t>, Duncan. Hybrid Monte Carlo. 1987. Physics Letters B, Volume 195, Issue 2, p. 216-222. DOI:10.1016/0370-2693(87)91197-X</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eastAsia="Times New Roman" w:hAnsi="Times New Roman" w:cs="Times New Roman"/>
        </w:rPr>
        <w:t xml:space="preserve">De Kai, Guy-Philippe Goldstein, Alexey </w:t>
      </w:r>
      <w:proofErr w:type="spellStart"/>
      <w:r w:rsidRPr="00F606F7">
        <w:rPr>
          <w:rFonts w:ascii="Times New Roman" w:eastAsia="Times New Roman" w:hAnsi="Times New Roman" w:cs="Times New Roman"/>
        </w:rPr>
        <w:t>Morgunov</w:t>
      </w:r>
      <w:proofErr w:type="spellEnd"/>
      <w:r w:rsidRPr="00F606F7">
        <w:rPr>
          <w:rFonts w:ascii="Times New Roman" w:eastAsia="Times New Roman" w:hAnsi="Times New Roman" w:cs="Times New Roman"/>
        </w:rPr>
        <w:t xml:space="preserve">, Vishal </w:t>
      </w:r>
      <w:proofErr w:type="spellStart"/>
      <w:r w:rsidRPr="00F606F7">
        <w:rPr>
          <w:rFonts w:ascii="Times New Roman" w:eastAsia="Times New Roman" w:hAnsi="Times New Roman" w:cs="Times New Roman"/>
        </w:rPr>
        <w:t>Nangalia</w:t>
      </w:r>
      <w:proofErr w:type="spellEnd"/>
      <w:r w:rsidRPr="00F606F7">
        <w:rPr>
          <w:rFonts w:ascii="Times New Roman" w:eastAsia="Times New Roman" w:hAnsi="Times New Roman" w:cs="Times New Roman"/>
        </w:rPr>
        <w:t xml:space="preserve">, Anna </w:t>
      </w:r>
      <w:proofErr w:type="spellStart"/>
      <w:r w:rsidRPr="00F606F7">
        <w:rPr>
          <w:rFonts w:ascii="Times New Roman" w:eastAsia="Times New Roman" w:hAnsi="Times New Roman" w:cs="Times New Roman"/>
        </w:rPr>
        <w:t>Rotkirch</w:t>
      </w:r>
      <w:proofErr w:type="spellEnd"/>
      <w:r w:rsidRPr="00F606F7">
        <w:rPr>
          <w:rFonts w:ascii="Times New Roman" w:eastAsia="Times New Roman" w:hAnsi="Times New Roman" w:cs="Times New Roman"/>
        </w:rPr>
        <w:t xml:space="preserve">. Universal Masking is Urgent in the COVID-19 Pandemic: SEIR and Agent Based Models, Empirical Validation, Policy Recommendations. </w:t>
      </w:r>
      <w:r w:rsidRPr="00F606F7">
        <w:rPr>
          <w:rFonts w:ascii="Times New Roman" w:eastAsia="Times New Roman" w:hAnsi="Times New Roman" w:cs="Times New Roman"/>
        </w:rPr>
        <w:tab/>
        <w:t>arXiv:2004.13553</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hAnsi="Times New Roman" w:cs="Times New Roman"/>
          <w:color w:val="auto"/>
        </w:rPr>
      </w:pPr>
      <w:proofErr w:type="spellStart"/>
      <w:r w:rsidRPr="00F606F7">
        <w:rPr>
          <w:rFonts w:ascii="Times New Roman" w:hAnsi="Times New Roman" w:cs="Times New Roman"/>
        </w:rPr>
        <w:t>Dixizi</w:t>
      </w:r>
      <w:proofErr w:type="spellEnd"/>
      <w:r w:rsidRPr="00F606F7">
        <w:rPr>
          <w:rFonts w:ascii="Times New Roman" w:hAnsi="Times New Roman" w:cs="Times New Roman"/>
        </w:rPr>
        <w:t xml:space="preserve"> Liu, </w:t>
      </w:r>
      <w:proofErr w:type="spellStart"/>
      <w:r w:rsidRPr="00F606F7">
        <w:rPr>
          <w:rFonts w:ascii="Times New Roman" w:hAnsi="Times New Roman" w:cs="Times New Roman"/>
        </w:rPr>
        <w:t>Weiping</w:t>
      </w:r>
      <w:proofErr w:type="spellEnd"/>
      <w:r w:rsidRPr="00F606F7">
        <w:rPr>
          <w:rFonts w:ascii="Times New Roman" w:hAnsi="Times New Roman" w:cs="Times New Roman"/>
        </w:rPr>
        <w:t xml:space="preserve"> Ding, </w:t>
      </w:r>
      <w:proofErr w:type="spellStart"/>
      <w:r w:rsidRPr="00F606F7">
        <w:rPr>
          <w:rFonts w:ascii="Times New Roman" w:hAnsi="Times New Roman" w:cs="Times New Roman"/>
        </w:rPr>
        <w:t>Zhijie</w:t>
      </w:r>
      <w:proofErr w:type="spellEnd"/>
      <w:r w:rsidRPr="00F606F7">
        <w:rPr>
          <w:rFonts w:ascii="Times New Roman" w:hAnsi="Times New Roman" w:cs="Times New Roman"/>
        </w:rPr>
        <w:t xml:space="preserve"> Sasha Dong, </w:t>
      </w:r>
      <w:proofErr w:type="spellStart"/>
      <w:r w:rsidRPr="00F606F7">
        <w:rPr>
          <w:rFonts w:ascii="Times New Roman" w:hAnsi="Times New Roman" w:cs="Times New Roman"/>
        </w:rPr>
        <w:t>Witold</w:t>
      </w:r>
      <w:proofErr w:type="spellEnd"/>
      <w:r w:rsidRPr="00F606F7">
        <w:rPr>
          <w:rFonts w:ascii="Times New Roman" w:hAnsi="Times New Roman" w:cs="Times New Roman"/>
        </w:rPr>
        <w:t xml:space="preserve"> </w:t>
      </w:r>
      <w:proofErr w:type="spellStart"/>
      <w:r w:rsidRPr="00F606F7">
        <w:rPr>
          <w:rFonts w:ascii="Times New Roman" w:hAnsi="Times New Roman" w:cs="Times New Roman"/>
        </w:rPr>
        <w:t>Pedrycz</w:t>
      </w:r>
      <w:proofErr w:type="spellEnd"/>
      <w:r w:rsidRPr="00F606F7">
        <w:rPr>
          <w:rFonts w:ascii="Times New Roman" w:hAnsi="Times New Roman" w:cs="Times New Roman"/>
        </w:rPr>
        <w:t xml:space="preserve">, Optimizing deep neural networks to predict the effect of social distancing on COVID-19 </w:t>
      </w:r>
      <w:proofErr w:type="spellStart"/>
      <w:r w:rsidRPr="00F606F7">
        <w:rPr>
          <w:rFonts w:ascii="Times New Roman" w:hAnsi="Times New Roman" w:cs="Times New Roman"/>
        </w:rPr>
        <w:t>spread,Computers</w:t>
      </w:r>
      <w:proofErr w:type="spellEnd"/>
      <w:r w:rsidRPr="00F606F7">
        <w:rPr>
          <w:rFonts w:ascii="Times New Roman" w:hAnsi="Times New Roman" w:cs="Times New Roman"/>
        </w:rPr>
        <w:t xml:space="preserve"> &amp; Industrial Engineering, Volume 166, 2022, 107970, ISSN 0360-8352, </w:t>
      </w:r>
      <w:hyperlink r:id="rId37" w:tooltip="https://doi.org/10.1016/j.cie.2022.107970" w:history="1">
        <w:r w:rsidRPr="00F606F7">
          <w:rPr>
            <w:rStyle w:val="Hyperlink"/>
            <w:rFonts w:ascii="Times New Roman" w:hAnsi="Times New Roman" w:cs="Times New Roman"/>
            <w:color w:val="auto"/>
          </w:rPr>
          <w:t>https://doi.org/10.1016/j.cie.2022.107970</w:t>
        </w:r>
      </w:hyperlink>
    </w:p>
    <w:p w:rsidR="00F606F7" w:rsidRPr="00F606F7" w:rsidRDefault="00F606F7" w:rsidP="00413D81">
      <w:pPr>
        <w:spacing w:after="0" w:line="240" w:lineRule="auto"/>
        <w:jc w:val="both"/>
        <w:rPr>
          <w:rFonts w:ascii="Times New Roman" w:eastAsia="Times New Roman" w:hAnsi="Times New Roman" w:cs="Times New Roman"/>
        </w:rPr>
      </w:pPr>
      <w:proofErr w:type="spellStart"/>
      <w:r w:rsidRPr="00F606F7">
        <w:rPr>
          <w:rFonts w:ascii="Times New Roman" w:eastAsia="Times New Roman" w:hAnsi="Times New Roman" w:cs="Times New Roman"/>
        </w:rPr>
        <w:lastRenderedPageBreak/>
        <w:t>Damette</w:t>
      </w:r>
      <w:proofErr w:type="spellEnd"/>
      <w:r w:rsidRPr="00F606F7">
        <w:rPr>
          <w:rFonts w:ascii="Times New Roman" w:eastAsia="Times New Roman" w:hAnsi="Times New Roman" w:cs="Times New Roman"/>
        </w:rPr>
        <w:t xml:space="preserve">, O., Huynh, T.L.D. Face mask is an efficient tool to fight the Covid-19 pandemic and some factors increase the probability of its adoption. </w:t>
      </w:r>
      <w:proofErr w:type="spellStart"/>
      <w:r w:rsidRPr="00F606F7">
        <w:rPr>
          <w:rFonts w:ascii="Times New Roman" w:eastAsia="Times New Roman" w:hAnsi="Times New Roman" w:cs="Times New Roman"/>
        </w:rPr>
        <w:t>Sci</w:t>
      </w:r>
      <w:proofErr w:type="spellEnd"/>
      <w:r w:rsidRPr="00F606F7">
        <w:rPr>
          <w:rFonts w:ascii="Times New Roman" w:eastAsia="Times New Roman" w:hAnsi="Times New Roman" w:cs="Times New Roman"/>
        </w:rPr>
        <w:t xml:space="preserve"> Rep 13, 9218 (2023). </w:t>
      </w:r>
      <w:hyperlink r:id="rId38" w:history="1">
        <w:r w:rsidRPr="00F606F7">
          <w:rPr>
            <w:rStyle w:val="Hyperlink"/>
            <w:rFonts w:ascii="Times New Roman" w:eastAsia="Times New Roman" w:hAnsi="Times New Roman" w:cs="Times New Roman"/>
            <w:color w:val="auto"/>
          </w:rPr>
          <w:t>https://doi.org/10.1038/s41598-023-34776-7</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Fisher, Aaron, Cynthia </w:t>
      </w:r>
      <w:proofErr w:type="spellStart"/>
      <w:r w:rsidRPr="00F606F7">
        <w:rPr>
          <w:rFonts w:ascii="Times New Roman" w:hAnsi="Times New Roman" w:cs="Times New Roman"/>
        </w:rPr>
        <w:t>Rudin</w:t>
      </w:r>
      <w:proofErr w:type="spellEnd"/>
      <w:r w:rsidRPr="00F606F7">
        <w:rPr>
          <w:rFonts w:ascii="Times New Roman" w:hAnsi="Times New Roman" w:cs="Times New Roman"/>
        </w:rPr>
        <w:t xml:space="preserve">, and Francesca </w:t>
      </w:r>
      <w:proofErr w:type="spellStart"/>
      <w:r w:rsidRPr="00F606F7">
        <w:rPr>
          <w:rFonts w:ascii="Times New Roman" w:hAnsi="Times New Roman" w:cs="Times New Roman"/>
        </w:rPr>
        <w:t>Dominici</w:t>
      </w:r>
      <w:proofErr w:type="spellEnd"/>
      <w:r w:rsidRPr="00F606F7">
        <w:rPr>
          <w:rFonts w:ascii="Times New Roman" w:hAnsi="Times New Roman" w:cs="Times New Roman"/>
        </w:rPr>
        <w:t>. “All models are wrong, but many are useful: Learning a variable’s importance by studying an entire class of prediction models simultaneously.” http://arxiv.org/abs/1801.01489 (2018).</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Friedman, Jerome H. “Greedy function approximation: A gradient boosting machine.” Annals of statistics (2001): 1189-1232.</w:t>
      </w:r>
    </w:p>
    <w:p w:rsidR="00F606F7" w:rsidRPr="00F606F7" w:rsidRDefault="00F606F7"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Flaxman, S., Mishra, S., Gandy, A. et al. Estimating the effects of non-pharmaceutical interventions on COVID-19 in Europe. Nature 584, 257–261 (2020). </w:t>
      </w:r>
      <w:hyperlink r:id="rId39" w:history="1">
        <w:r w:rsidRPr="00F606F7">
          <w:rPr>
            <w:rStyle w:val="Hyperlink"/>
            <w:rFonts w:ascii="Times New Roman" w:eastAsia="Times New Roman" w:hAnsi="Times New Roman" w:cs="Times New Roman"/>
            <w:color w:val="auto"/>
          </w:rPr>
          <w:t>https://doi.org/10.1038/s41586-020-2405-7</w:t>
        </w:r>
      </w:hyperlink>
      <w:r w:rsidRPr="00F606F7">
        <w:rPr>
          <w:rFonts w:ascii="Times New Roman" w:eastAsia="Times New Roman" w:hAnsi="Times New Roman" w:cs="Times New Roman"/>
        </w:rPr>
        <w:t xml:space="preserve"> </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eastAsia="Times New Roman" w:hAnsi="Times New Roman" w:cs="Times New Roman"/>
          <w:lang w:val="de-DE"/>
        </w:rPr>
        <w:t xml:space="preserve">Ge, Y., Zhang, WB., Wu, X. et al. </w:t>
      </w:r>
      <w:r w:rsidRPr="00F606F7">
        <w:rPr>
          <w:rFonts w:ascii="Times New Roman" w:eastAsia="Times New Roman" w:hAnsi="Times New Roman" w:cs="Times New Roman"/>
        </w:rPr>
        <w:t xml:space="preserve">Untangling the changing impact of non-pharmaceutical interventions and vaccination on European COVID-19 trajectories. Nat </w:t>
      </w:r>
      <w:proofErr w:type="spellStart"/>
      <w:r w:rsidRPr="00F606F7">
        <w:rPr>
          <w:rFonts w:ascii="Times New Roman" w:eastAsia="Times New Roman" w:hAnsi="Times New Roman" w:cs="Times New Roman"/>
        </w:rPr>
        <w:t>Commun</w:t>
      </w:r>
      <w:proofErr w:type="spellEnd"/>
      <w:r w:rsidRPr="00F606F7">
        <w:rPr>
          <w:rFonts w:ascii="Times New Roman" w:eastAsia="Times New Roman" w:hAnsi="Times New Roman" w:cs="Times New Roman"/>
        </w:rPr>
        <w:t xml:space="preserve"> 13, 3106 (2022). </w:t>
      </w:r>
      <w:hyperlink r:id="rId40" w:tooltip="https://doi.org/10.1038/s41467-022-30897-1" w:history="1">
        <w:r w:rsidRPr="00F606F7">
          <w:rPr>
            <w:rStyle w:val="Hyperlink"/>
            <w:rFonts w:ascii="Times New Roman" w:eastAsia="Times New Roman" w:hAnsi="Times New Roman" w:cs="Times New Roman"/>
            <w:color w:val="auto"/>
          </w:rPr>
          <w:t>https://doi.org/10.1038/s41467-022-30897-1</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r w:rsidRPr="00F606F7">
        <w:rPr>
          <w:rFonts w:ascii="Times New Roman" w:eastAsia="Times New Roman" w:hAnsi="Times New Roman" w:cs="Times New Roman"/>
        </w:rPr>
        <w:t xml:space="preserve">Gavin Leech, Charlie Rogers-Smith, Joshua </w:t>
      </w:r>
      <w:proofErr w:type="spellStart"/>
      <w:r w:rsidRPr="00F606F7">
        <w:rPr>
          <w:rFonts w:ascii="Times New Roman" w:eastAsia="Times New Roman" w:hAnsi="Times New Roman" w:cs="Times New Roman"/>
        </w:rPr>
        <w:t>Teperowski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Monrad</w:t>
      </w:r>
      <w:proofErr w:type="spellEnd"/>
      <w:r w:rsidRPr="00F606F7">
        <w:rPr>
          <w:rFonts w:ascii="Times New Roman" w:eastAsia="Times New Roman" w:hAnsi="Times New Roman" w:cs="Times New Roman"/>
        </w:rPr>
        <w:t xml:space="preserve">, Jonas B. </w:t>
      </w:r>
      <w:proofErr w:type="spellStart"/>
      <w:r w:rsidRPr="00F606F7">
        <w:rPr>
          <w:rFonts w:ascii="Times New Roman" w:eastAsia="Times New Roman" w:hAnsi="Times New Roman" w:cs="Times New Roman"/>
        </w:rPr>
        <w:t>Sandbrink</w:t>
      </w:r>
      <w:proofErr w:type="spellEnd"/>
      <w:r w:rsidRPr="00F606F7">
        <w:rPr>
          <w:rFonts w:ascii="Times New Roman" w:eastAsia="Times New Roman" w:hAnsi="Times New Roman" w:cs="Times New Roman"/>
        </w:rPr>
        <w:t xml:space="preserve">, Benedict </w:t>
      </w:r>
      <w:proofErr w:type="spellStart"/>
      <w:r w:rsidRPr="00F606F7">
        <w:rPr>
          <w:rFonts w:ascii="Times New Roman" w:eastAsia="Times New Roman" w:hAnsi="Times New Roman" w:cs="Times New Roman"/>
        </w:rPr>
        <w:t>Snodin</w:t>
      </w:r>
      <w:proofErr w:type="spellEnd"/>
      <w:r w:rsidRPr="00F606F7">
        <w:rPr>
          <w:rFonts w:ascii="Times New Roman" w:eastAsia="Times New Roman" w:hAnsi="Times New Roman" w:cs="Times New Roman"/>
        </w:rPr>
        <w:t xml:space="preserve">, Robert </w:t>
      </w:r>
      <w:proofErr w:type="spellStart"/>
      <w:r w:rsidRPr="00F606F7">
        <w:rPr>
          <w:rFonts w:ascii="Times New Roman" w:eastAsia="Times New Roman" w:hAnsi="Times New Roman" w:cs="Times New Roman"/>
        </w:rPr>
        <w:t>Zinkov</w:t>
      </w:r>
      <w:proofErr w:type="spellEnd"/>
      <w:r w:rsidRPr="00F606F7">
        <w:rPr>
          <w:rFonts w:ascii="Times New Roman" w:eastAsia="Times New Roman" w:hAnsi="Times New Roman" w:cs="Times New Roman"/>
        </w:rPr>
        <w:t xml:space="preserve">, Benjamin, John S. Brownstein, </w:t>
      </w:r>
      <w:proofErr w:type="spellStart"/>
      <w:r w:rsidRPr="00F606F7">
        <w:rPr>
          <w:rFonts w:ascii="Times New Roman" w:eastAsia="Times New Roman" w:hAnsi="Times New Roman" w:cs="Times New Roman"/>
        </w:rPr>
        <w:t>Yarin</w:t>
      </w:r>
      <w:proofErr w:type="spellEnd"/>
      <w:r w:rsidRPr="00F606F7">
        <w:rPr>
          <w:rFonts w:ascii="Times New Roman" w:eastAsia="Times New Roman" w:hAnsi="Times New Roman" w:cs="Times New Roman"/>
        </w:rPr>
        <w:t xml:space="preserve"> Gal, Samir Bhatt, </w:t>
      </w:r>
      <w:proofErr w:type="spellStart"/>
      <w:r w:rsidRPr="00F606F7">
        <w:rPr>
          <w:rFonts w:ascii="Times New Roman" w:eastAsia="Times New Roman" w:hAnsi="Times New Roman" w:cs="Times New Roman"/>
        </w:rPr>
        <w:t>Mrinank</w:t>
      </w:r>
      <w:proofErr w:type="spellEnd"/>
      <w:r w:rsidRPr="00F606F7">
        <w:rPr>
          <w:rFonts w:ascii="Times New Roman" w:eastAsia="Times New Roman" w:hAnsi="Times New Roman" w:cs="Times New Roman"/>
        </w:rPr>
        <w:t xml:space="preserve"> Sharma, </w:t>
      </w:r>
      <w:proofErr w:type="spellStart"/>
      <w:r w:rsidRPr="00F606F7">
        <w:rPr>
          <w:rFonts w:ascii="Times New Roman" w:eastAsia="Times New Roman" w:hAnsi="Times New Roman" w:cs="Times New Roman"/>
        </w:rPr>
        <w:t>Sören</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Mindermann</w:t>
      </w:r>
      <w:proofErr w:type="spellEnd"/>
      <w:r w:rsidRPr="00F606F7">
        <w:rPr>
          <w:rFonts w:ascii="Times New Roman" w:eastAsia="Times New Roman" w:hAnsi="Times New Roman" w:cs="Times New Roman"/>
        </w:rPr>
        <w:t xml:space="preserve">, Jan M. </w:t>
      </w:r>
      <w:proofErr w:type="spellStart"/>
      <w:r w:rsidRPr="00F606F7">
        <w:rPr>
          <w:rFonts w:ascii="Times New Roman" w:eastAsia="Times New Roman" w:hAnsi="Times New Roman" w:cs="Times New Roman"/>
        </w:rPr>
        <w:t>Brauner</w:t>
      </w:r>
      <w:proofErr w:type="spellEnd"/>
      <w:r w:rsidRPr="00F606F7">
        <w:rPr>
          <w:rFonts w:ascii="Times New Roman" w:eastAsia="Times New Roman" w:hAnsi="Times New Roman" w:cs="Times New Roman"/>
        </w:rPr>
        <w:t xml:space="preserve">, and Laurence Aitchison. 2022. Mask wearing in community settings reduces SARS-CoV-2 transmission </w:t>
      </w:r>
      <w:hyperlink r:id="rId41" w:tooltip="https://www.pnas.org/doi/full/10.1073/pnas.2119266119" w:history="1">
        <w:r w:rsidRPr="00F606F7">
          <w:rPr>
            <w:rStyle w:val="Hyperlink"/>
            <w:rFonts w:ascii="Times New Roman" w:eastAsia="Times New Roman" w:hAnsi="Times New Roman" w:cs="Times New Roman"/>
            <w:color w:val="auto"/>
          </w:rPr>
          <w:t>https://www.pnas.org/doi/full/10.1073/pnas.2119266119</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eastAsia="Times New Roman" w:hAnsi="Times New Roman" w:cs="Times New Roman"/>
        </w:rPr>
        <w:t xml:space="preserve">Ge Y, Zhang WB, Liu H, </w:t>
      </w:r>
      <w:proofErr w:type="spellStart"/>
      <w:r w:rsidRPr="00F606F7">
        <w:rPr>
          <w:rFonts w:ascii="Times New Roman" w:eastAsia="Times New Roman" w:hAnsi="Times New Roman" w:cs="Times New Roman"/>
        </w:rPr>
        <w:t>Ruktanonchai</w:t>
      </w:r>
      <w:proofErr w:type="spellEnd"/>
      <w:r w:rsidRPr="00F606F7">
        <w:rPr>
          <w:rFonts w:ascii="Times New Roman" w:eastAsia="Times New Roman" w:hAnsi="Times New Roman" w:cs="Times New Roman"/>
        </w:rPr>
        <w:t xml:space="preserve"> CW, Hu M, Wu X, Song Y, </w:t>
      </w:r>
      <w:proofErr w:type="spellStart"/>
      <w:r w:rsidRPr="00F606F7">
        <w:rPr>
          <w:rFonts w:ascii="Times New Roman" w:eastAsia="Times New Roman" w:hAnsi="Times New Roman" w:cs="Times New Roman"/>
        </w:rPr>
        <w:t>Ruktanonchai</w:t>
      </w:r>
      <w:proofErr w:type="spellEnd"/>
      <w:r w:rsidRPr="00F606F7">
        <w:rPr>
          <w:rFonts w:ascii="Times New Roman" w:eastAsia="Times New Roman" w:hAnsi="Times New Roman" w:cs="Times New Roman"/>
        </w:rPr>
        <w:t xml:space="preserve"> NW, Yan W, Cleary E, Feng L, Li Z, Yang W, Liu M, </w:t>
      </w:r>
      <w:proofErr w:type="spellStart"/>
      <w:r w:rsidRPr="00F606F7">
        <w:rPr>
          <w:rFonts w:ascii="Times New Roman" w:eastAsia="Times New Roman" w:hAnsi="Times New Roman" w:cs="Times New Roman"/>
        </w:rPr>
        <w:t>Tatem</w:t>
      </w:r>
      <w:proofErr w:type="spellEnd"/>
      <w:r w:rsidRPr="00F606F7">
        <w:rPr>
          <w:rFonts w:ascii="Times New Roman" w:eastAsia="Times New Roman" w:hAnsi="Times New Roman" w:cs="Times New Roman"/>
        </w:rPr>
        <w:t xml:space="preserve"> AJ, Wang JF, Lai S. Impacts of worldwide individual non-pharmaceutical interventions on COVID-19 transmission across waves and space. </w:t>
      </w:r>
      <w:proofErr w:type="spellStart"/>
      <w:r w:rsidRPr="00F606F7">
        <w:rPr>
          <w:rFonts w:ascii="Times New Roman" w:eastAsia="Times New Roman" w:hAnsi="Times New Roman" w:cs="Times New Roman"/>
        </w:rPr>
        <w:t>Int</w:t>
      </w:r>
      <w:proofErr w:type="spellEnd"/>
      <w:r w:rsidRPr="00F606F7">
        <w:rPr>
          <w:rFonts w:ascii="Times New Roman" w:eastAsia="Times New Roman" w:hAnsi="Times New Roman" w:cs="Times New Roman"/>
        </w:rPr>
        <w:t xml:space="preserve"> J </w:t>
      </w:r>
      <w:proofErr w:type="spellStart"/>
      <w:r w:rsidRPr="00F606F7">
        <w:rPr>
          <w:rFonts w:ascii="Times New Roman" w:eastAsia="Times New Roman" w:hAnsi="Times New Roman" w:cs="Times New Roman"/>
        </w:rPr>
        <w:t>Appl</w:t>
      </w:r>
      <w:proofErr w:type="spellEnd"/>
      <w:r w:rsidRPr="00F606F7">
        <w:rPr>
          <w:rFonts w:ascii="Times New Roman" w:eastAsia="Times New Roman" w:hAnsi="Times New Roman" w:cs="Times New Roman"/>
        </w:rPr>
        <w:t xml:space="preserve"> Earth </w:t>
      </w:r>
      <w:proofErr w:type="spellStart"/>
      <w:r w:rsidRPr="00F606F7">
        <w:rPr>
          <w:rFonts w:ascii="Times New Roman" w:eastAsia="Times New Roman" w:hAnsi="Times New Roman" w:cs="Times New Roman"/>
        </w:rPr>
        <w:t>Obs</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Geoinf</w:t>
      </w:r>
      <w:proofErr w:type="spellEnd"/>
      <w:r w:rsidRPr="00F606F7">
        <w:rPr>
          <w:rFonts w:ascii="Times New Roman" w:eastAsia="Times New Roman" w:hAnsi="Times New Roman" w:cs="Times New Roman"/>
        </w:rPr>
        <w:t xml:space="preserve">. 2022 </w:t>
      </w:r>
      <w:proofErr w:type="gramStart"/>
      <w:r w:rsidRPr="00F606F7">
        <w:rPr>
          <w:rFonts w:ascii="Times New Roman" w:eastAsia="Times New Roman" w:hAnsi="Times New Roman" w:cs="Times New Roman"/>
        </w:rPr>
        <w:t>Feb;106:102649</w:t>
      </w:r>
      <w:proofErr w:type="gram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doi</w:t>
      </w:r>
      <w:proofErr w:type="spellEnd"/>
      <w:r w:rsidRPr="00F606F7">
        <w:rPr>
          <w:rFonts w:ascii="Times New Roman" w:eastAsia="Times New Roman" w:hAnsi="Times New Roman" w:cs="Times New Roman"/>
        </w:rPr>
        <w:t>: 10.1016/j.jag.2021.102649. PMCID: PMC8666325.</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eastAsia="Times New Roman" w:hAnsi="Times New Roman" w:cs="Times New Roman"/>
        </w:rPr>
      </w:pPr>
      <w:proofErr w:type="spellStart"/>
      <w:r w:rsidRPr="00F606F7">
        <w:rPr>
          <w:rFonts w:ascii="Times New Roman" w:eastAsia="Times New Roman" w:hAnsi="Times New Roman" w:cs="Times New Roman"/>
        </w:rPr>
        <w:t>Huy</w:t>
      </w:r>
      <w:proofErr w:type="spellEnd"/>
      <w:r w:rsidRPr="00F606F7">
        <w:rPr>
          <w:rFonts w:ascii="Times New Roman" w:eastAsia="Times New Roman" w:hAnsi="Times New Roman" w:cs="Times New Roman"/>
        </w:rPr>
        <w:t xml:space="preserve">, Le </w:t>
      </w:r>
      <w:proofErr w:type="spellStart"/>
      <w:r w:rsidRPr="00F606F7">
        <w:rPr>
          <w:rFonts w:ascii="Times New Roman" w:eastAsia="Times New Roman" w:hAnsi="Times New Roman" w:cs="Times New Roman"/>
        </w:rPr>
        <w:t>Duc</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Nhi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Thi</w:t>
      </w:r>
      <w:proofErr w:type="spellEnd"/>
      <w:r w:rsidRPr="00F606F7">
        <w:rPr>
          <w:rFonts w:ascii="Times New Roman" w:eastAsia="Times New Roman" w:hAnsi="Times New Roman" w:cs="Times New Roman"/>
        </w:rPr>
        <w:t xml:space="preserve"> Hong Nguyen, Phan </w:t>
      </w:r>
      <w:proofErr w:type="spellStart"/>
      <w:r w:rsidRPr="00F606F7">
        <w:rPr>
          <w:rFonts w:ascii="Times New Roman" w:eastAsia="Times New Roman" w:hAnsi="Times New Roman" w:cs="Times New Roman"/>
        </w:rPr>
        <w:t>Thanh</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Phuc</w:t>
      </w:r>
      <w:proofErr w:type="spellEnd"/>
      <w:r w:rsidRPr="00F606F7">
        <w:rPr>
          <w:rFonts w:ascii="Times New Roman" w:eastAsia="Times New Roman" w:hAnsi="Times New Roman" w:cs="Times New Roman"/>
        </w:rPr>
        <w:t>, and Chung-</w:t>
      </w:r>
      <w:proofErr w:type="spellStart"/>
      <w:r w:rsidRPr="00F606F7">
        <w:rPr>
          <w:rFonts w:ascii="Times New Roman" w:eastAsia="Times New Roman" w:hAnsi="Times New Roman" w:cs="Times New Roman"/>
        </w:rPr>
        <w:t>Chien</w:t>
      </w:r>
      <w:proofErr w:type="spellEnd"/>
      <w:r w:rsidRPr="00F606F7">
        <w:rPr>
          <w:rFonts w:ascii="Times New Roman" w:eastAsia="Times New Roman" w:hAnsi="Times New Roman" w:cs="Times New Roman"/>
        </w:rPr>
        <w:t xml:space="preserve"> Huang. 2022. "The Effects of Non-Pharmaceutical Interventions on COVID-19 Epidemic Growth Rate during Pre- and Post-Vaccination Period in Asian Countries" International Journal of Environmental Research and Public Health 19, no. 3: 1139. </w:t>
      </w:r>
      <w:hyperlink r:id="rId42" w:tooltip="https://doi.org/10.3390/ijerph19031139" w:history="1">
        <w:r w:rsidRPr="00F606F7">
          <w:rPr>
            <w:rStyle w:val="Hyperlink"/>
            <w:rFonts w:ascii="Times New Roman" w:eastAsia="Times New Roman" w:hAnsi="Times New Roman" w:cs="Times New Roman"/>
            <w:color w:val="auto"/>
          </w:rPr>
          <w:t>https://doi.org/10.3390/ijerph19031139</w:t>
        </w:r>
      </w:hyperlink>
      <w:r w:rsidRPr="00F606F7">
        <w:rPr>
          <w:rFonts w:ascii="Times New Roman" w:eastAsia="Times New Roman" w:hAnsi="Times New Roman" w:cs="Times New Roman"/>
        </w:rPr>
        <w:t>.</w:t>
      </w:r>
    </w:p>
    <w:p w:rsidR="00F606F7" w:rsidRPr="00F606F7" w:rsidRDefault="00F606F7" w:rsidP="00413D81">
      <w:pPr>
        <w:spacing w:after="0"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H. </w:t>
      </w:r>
      <w:proofErr w:type="spellStart"/>
      <w:r w:rsidRPr="00F606F7">
        <w:rPr>
          <w:rFonts w:ascii="Times New Roman" w:eastAsia="Times New Roman" w:hAnsi="Times New Roman" w:cs="Times New Roman"/>
        </w:rPr>
        <w:t>Verma</w:t>
      </w:r>
      <w:proofErr w:type="spellEnd"/>
      <w:r w:rsidRPr="00F606F7">
        <w:rPr>
          <w:rFonts w:ascii="Times New Roman" w:eastAsia="Times New Roman" w:hAnsi="Times New Roman" w:cs="Times New Roman"/>
        </w:rPr>
        <w:t xml:space="preserve">, S. Mandal, A. Gupta, Temporal deep learning architecture for prediction of COVID-19 cases in India, Expert Systems with Applications, 195 (2022), Article 116611, </w:t>
      </w:r>
      <w:hyperlink r:id="rId43" w:tooltip="https://doi.org/10.1016/j.eswa.2022.116611" w:history="1">
        <w:r w:rsidRPr="00F606F7">
          <w:rPr>
            <w:rFonts w:ascii="Times New Roman" w:eastAsia="Times New Roman" w:hAnsi="Times New Roman" w:cs="Times New Roman"/>
            <w:u w:val="single"/>
          </w:rPr>
          <w:t>10.1016/j.eswa.2022.116611</w:t>
        </w:r>
      </w:hyperlink>
    </w:p>
    <w:p w:rsidR="00F606F7" w:rsidRPr="00F606F7" w:rsidRDefault="00F606F7" w:rsidP="00413D81">
      <w:pPr>
        <w:spacing w:after="0" w:line="240" w:lineRule="auto"/>
        <w:jc w:val="both"/>
        <w:rPr>
          <w:rFonts w:ascii="Times New Roman" w:eastAsia="Times New Roman" w:hAnsi="Times New Roman" w:cs="Times New Roman"/>
        </w:rPr>
      </w:pP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eastAsia="Times New Roman" w:hAnsi="Times New Roman" w:cs="Times New Roman"/>
        </w:rPr>
        <w:t>Kamineni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Meghana</w:t>
      </w:r>
      <w:proofErr w:type="spellEnd"/>
      <w:r w:rsidRPr="00F606F7">
        <w:rPr>
          <w:rFonts w:ascii="Times New Roman" w:eastAsia="Times New Roman" w:hAnsi="Times New Roman" w:cs="Times New Roman"/>
        </w:rPr>
        <w:t xml:space="preserve"> and </w:t>
      </w:r>
      <w:proofErr w:type="spellStart"/>
      <w:r w:rsidRPr="00F606F7">
        <w:rPr>
          <w:rFonts w:ascii="Times New Roman" w:eastAsia="Times New Roman" w:hAnsi="Times New Roman" w:cs="Times New Roman"/>
        </w:rPr>
        <w:t>Engø-Monsen</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Kenth</w:t>
      </w:r>
      <w:proofErr w:type="spellEnd"/>
      <w:r w:rsidRPr="00F606F7">
        <w:rPr>
          <w:rFonts w:ascii="Times New Roman" w:eastAsia="Times New Roman" w:hAnsi="Times New Roman" w:cs="Times New Roman"/>
        </w:rPr>
        <w:t xml:space="preserve"> and </w:t>
      </w:r>
      <w:proofErr w:type="spellStart"/>
      <w:r w:rsidRPr="00F606F7">
        <w:rPr>
          <w:rFonts w:ascii="Times New Roman" w:eastAsia="Times New Roman" w:hAnsi="Times New Roman" w:cs="Times New Roman"/>
        </w:rPr>
        <w:t>Midtbø</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Jørgen</w:t>
      </w:r>
      <w:proofErr w:type="spellEnd"/>
      <w:r w:rsidRPr="00F606F7">
        <w:rPr>
          <w:rFonts w:ascii="Times New Roman" w:eastAsia="Times New Roman" w:hAnsi="Times New Roman" w:cs="Times New Roman"/>
        </w:rPr>
        <w:t xml:space="preserve"> E and </w:t>
      </w:r>
      <w:proofErr w:type="spellStart"/>
      <w:r w:rsidRPr="00F606F7">
        <w:rPr>
          <w:rFonts w:ascii="Times New Roman" w:eastAsia="Times New Roman" w:hAnsi="Times New Roman" w:cs="Times New Roman"/>
        </w:rPr>
        <w:t>Forland</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Frode</w:t>
      </w:r>
      <w:proofErr w:type="spellEnd"/>
      <w:r w:rsidRPr="00F606F7">
        <w:rPr>
          <w:rFonts w:ascii="Times New Roman" w:eastAsia="Times New Roman" w:hAnsi="Times New Roman" w:cs="Times New Roman"/>
        </w:rPr>
        <w:t xml:space="preserve"> and de </w:t>
      </w:r>
      <w:proofErr w:type="spellStart"/>
      <w:r w:rsidRPr="00F606F7">
        <w:rPr>
          <w:rFonts w:ascii="Times New Roman" w:eastAsia="Times New Roman" w:hAnsi="Times New Roman" w:cs="Times New Roman"/>
        </w:rPr>
        <w:t>Blasio</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Birgitte</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Freiesleben</w:t>
      </w:r>
      <w:proofErr w:type="spellEnd"/>
      <w:r w:rsidRPr="00F606F7">
        <w:rPr>
          <w:rFonts w:ascii="Times New Roman" w:eastAsia="Times New Roman" w:hAnsi="Times New Roman" w:cs="Times New Roman"/>
        </w:rPr>
        <w:t xml:space="preserve"> and </w:t>
      </w:r>
      <w:proofErr w:type="spellStart"/>
      <w:r w:rsidRPr="00F606F7">
        <w:rPr>
          <w:rFonts w:ascii="Times New Roman" w:eastAsia="Times New Roman" w:hAnsi="Times New Roman" w:cs="Times New Roman"/>
        </w:rPr>
        <w:t>Frigessi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Arnoldo</w:t>
      </w:r>
      <w:proofErr w:type="spellEnd"/>
      <w:r w:rsidRPr="00F606F7">
        <w:rPr>
          <w:rFonts w:ascii="Times New Roman" w:eastAsia="Times New Roman" w:hAnsi="Times New Roman" w:cs="Times New Roman"/>
        </w:rPr>
        <w:t xml:space="preserve"> and </w:t>
      </w:r>
      <w:proofErr w:type="spellStart"/>
      <w:r w:rsidRPr="00F606F7">
        <w:rPr>
          <w:rFonts w:ascii="Times New Roman" w:eastAsia="Times New Roman" w:hAnsi="Times New Roman" w:cs="Times New Roman"/>
        </w:rPr>
        <w:t>Engebretsen</w:t>
      </w:r>
      <w:proofErr w:type="spellEnd"/>
      <w:r w:rsidRPr="00F606F7">
        <w:rPr>
          <w:rFonts w:ascii="Times New Roman" w:eastAsia="Times New Roman" w:hAnsi="Times New Roman" w:cs="Times New Roman"/>
        </w:rPr>
        <w:t xml:space="preserve">, Solveig, Effects of non-compulsory and mandatory COVID-19 interventions on travel distance and time away from home, Norway, 2021 </w:t>
      </w:r>
      <w:proofErr w:type="spellStart"/>
      <w:r w:rsidRPr="00F606F7">
        <w:rPr>
          <w:rFonts w:ascii="Times New Roman" w:eastAsia="Times New Roman" w:hAnsi="Times New Roman" w:cs="Times New Roman"/>
        </w:rPr>
        <w:t>Eurosurveillance</w:t>
      </w:r>
      <w:proofErr w:type="spellEnd"/>
      <w:r w:rsidRPr="00F606F7">
        <w:rPr>
          <w:rFonts w:ascii="Times New Roman" w:eastAsia="Times New Roman" w:hAnsi="Times New Roman" w:cs="Times New Roman"/>
        </w:rPr>
        <w:t xml:space="preserve">, 28, 2200382 (2023), </w:t>
      </w:r>
      <w:hyperlink r:id="rId44" w:tooltip="https://doi.org/10.2807/1560-7917.ES.2023.28.17.2200382" w:history="1">
        <w:r w:rsidRPr="00F606F7">
          <w:rPr>
            <w:rStyle w:val="Hyperlink"/>
            <w:rFonts w:ascii="Times New Roman" w:eastAsia="Times New Roman" w:hAnsi="Times New Roman" w:cs="Times New Roman"/>
            <w:color w:val="auto"/>
          </w:rPr>
          <w:t>https://doi.org/10.2807/1560-7917.ES.2023.28.17.2200382</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r w:rsidRPr="00F606F7">
        <w:rPr>
          <w:rFonts w:ascii="Times New Roman" w:eastAsia="Times New Roman" w:hAnsi="Times New Roman" w:cs="Times New Roman"/>
          <w:lang w:val="de-DE"/>
        </w:rPr>
        <w:t xml:space="preserve">Liu, Y., Yu, Q., Wen, H. et al. </w:t>
      </w:r>
      <w:r w:rsidRPr="00F606F7">
        <w:rPr>
          <w:rFonts w:ascii="Times New Roman" w:eastAsia="Times New Roman" w:hAnsi="Times New Roman" w:cs="Times New Roman"/>
        </w:rPr>
        <w:t xml:space="preserve">What matters: non-pharmaceutical interventions for COVID-19 in Europe. </w:t>
      </w:r>
      <w:proofErr w:type="spellStart"/>
      <w:r w:rsidRPr="00F606F7">
        <w:rPr>
          <w:rFonts w:ascii="Times New Roman" w:eastAsia="Times New Roman" w:hAnsi="Times New Roman" w:cs="Times New Roman"/>
        </w:rPr>
        <w:t>Antimicrob</w:t>
      </w:r>
      <w:proofErr w:type="spellEnd"/>
      <w:r w:rsidRPr="00F606F7">
        <w:rPr>
          <w:rFonts w:ascii="Times New Roman" w:eastAsia="Times New Roman" w:hAnsi="Times New Roman" w:cs="Times New Roman"/>
        </w:rPr>
        <w:t xml:space="preserve"> Resist Infect Control 11, 3 (2022). </w:t>
      </w:r>
      <w:hyperlink r:id="rId45" w:tooltip="https://doi.org/10.1186/s13756-021-01039-x" w:history="1">
        <w:r w:rsidRPr="00F606F7">
          <w:rPr>
            <w:rStyle w:val="Hyperlink"/>
            <w:rFonts w:ascii="Times New Roman" w:eastAsia="Times New Roman" w:hAnsi="Times New Roman" w:cs="Times New Roman"/>
            <w:color w:val="auto"/>
          </w:rPr>
          <w:t>https://doi.org/10.1186/s13756-021-01039-x</w:t>
        </w:r>
      </w:hyperlink>
    </w:p>
    <w:p w:rsidR="00896D6C" w:rsidRPr="00F606F7" w:rsidRDefault="002D7DE5" w:rsidP="00413D81">
      <w:pPr>
        <w:spacing w:line="240" w:lineRule="auto"/>
        <w:jc w:val="both"/>
        <w:rPr>
          <w:rStyle w:val="Hyperlink"/>
          <w:rFonts w:ascii="Times New Roman" w:eastAsia="Times New Roman" w:hAnsi="Times New Roman" w:cs="Times New Roman"/>
          <w:color w:val="auto"/>
        </w:rPr>
      </w:pPr>
      <w:r w:rsidRPr="00F606F7">
        <w:rPr>
          <w:rFonts w:ascii="Times New Roman" w:eastAsia="Times New Roman" w:hAnsi="Times New Roman" w:cs="Times New Roman"/>
        </w:rPr>
        <w:t xml:space="preserve">Lawson, Andrew, and </w:t>
      </w:r>
      <w:proofErr w:type="spellStart"/>
      <w:r w:rsidRPr="00F606F7">
        <w:rPr>
          <w:rFonts w:ascii="Times New Roman" w:eastAsia="Times New Roman" w:hAnsi="Times New Roman" w:cs="Times New Roman"/>
        </w:rPr>
        <w:t>Chawarat</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Rotejanaprasert</w:t>
      </w:r>
      <w:proofErr w:type="spellEnd"/>
      <w:r w:rsidRPr="00F606F7">
        <w:rPr>
          <w:rFonts w:ascii="Times New Roman" w:eastAsia="Times New Roman" w:hAnsi="Times New Roman" w:cs="Times New Roman"/>
        </w:rPr>
        <w:t xml:space="preserve">. 2023. "Bayesian </w:t>
      </w:r>
      <w:proofErr w:type="spellStart"/>
      <w:r w:rsidRPr="00F606F7">
        <w:rPr>
          <w:rFonts w:ascii="Times New Roman" w:eastAsia="Times New Roman" w:hAnsi="Times New Roman" w:cs="Times New Roman"/>
        </w:rPr>
        <w:t>Spatio</w:t>
      </w:r>
      <w:proofErr w:type="spellEnd"/>
      <w:r w:rsidRPr="00F606F7">
        <w:rPr>
          <w:rFonts w:ascii="Times New Roman" w:eastAsia="Times New Roman" w:hAnsi="Times New Roman" w:cs="Times New Roman"/>
        </w:rPr>
        <w:t xml:space="preserve">-Temporal Prediction and Counterfactual Generation: An Application in Non-Pharmaceutical Interventions in COVID-19" Viruses 15, no. 2: 325. </w:t>
      </w:r>
      <w:hyperlink r:id="rId46" w:tooltip="https://doi.org/10.3390/v15020325" w:history="1">
        <w:r w:rsidRPr="00F606F7">
          <w:rPr>
            <w:rStyle w:val="Hyperlink"/>
            <w:rFonts w:ascii="Times New Roman" w:eastAsia="Times New Roman" w:hAnsi="Times New Roman" w:cs="Times New Roman"/>
            <w:color w:val="auto"/>
          </w:rPr>
          <w:t>https://doi.org/10.3390/v15020325</w:t>
        </w:r>
      </w:hyperlink>
    </w:p>
    <w:p w:rsidR="00F606F7" w:rsidRPr="00F606F7" w:rsidRDefault="00F606F7" w:rsidP="00413D81">
      <w:pPr>
        <w:spacing w:after="0" w:line="240" w:lineRule="auto"/>
        <w:jc w:val="both"/>
        <w:rPr>
          <w:rFonts w:ascii="Times New Roman" w:hAnsi="Times New Roman" w:cs="Times New Roman"/>
        </w:rPr>
      </w:pPr>
      <w:r w:rsidRPr="00F606F7">
        <w:rPr>
          <w:rFonts w:ascii="Times New Roman" w:eastAsia="Times New Roman" w:hAnsi="Times New Roman" w:cs="Times New Roman"/>
        </w:rPr>
        <w:t xml:space="preserve">L. Xu, R. Magar, A.B. </w:t>
      </w:r>
      <w:proofErr w:type="spellStart"/>
      <w:r w:rsidRPr="00F606F7">
        <w:rPr>
          <w:rFonts w:ascii="Times New Roman" w:eastAsia="Times New Roman" w:hAnsi="Times New Roman" w:cs="Times New Roman"/>
        </w:rPr>
        <w:t>Farimani</w:t>
      </w:r>
      <w:proofErr w:type="spellEnd"/>
      <w:r w:rsidRPr="00F606F7">
        <w:rPr>
          <w:rFonts w:ascii="Times New Roman" w:eastAsia="Times New Roman" w:hAnsi="Times New Roman" w:cs="Times New Roman"/>
        </w:rPr>
        <w:t xml:space="preserve">, Forecasting COVID-19 new cases using deep learning methods Computers in biology and medicine, 144 (2022), Article 105342, </w:t>
      </w:r>
      <w:hyperlink r:id="rId47" w:tooltip="https://doi.org/10.1016/j.compbiomed.2022.105342" w:history="1">
        <w:r w:rsidRPr="00F606F7">
          <w:rPr>
            <w:rFonts w:ascii="Times New Roman" w:eastAsia="Times New Roman" w:hAnsi="Times New Roman" w:cs="Times New Roman"/>
            <w:u w:val="single"/>
          </w:rPr>
          <w:t>10.1016/j.compbiomed.2022.105342</w:t>
        </w:r>
      </w:hyperlink>
    </w:p>
    <w:p w:rsidR="00413D81" w:rsidRDefault="00413D81"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eastAsia="Times New Roman" w:hAnsi="Times New Roman" w:cs="Times New Roman"/>
        </w:rPr>
      </w:pP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proofErr w:type="spellStart"/>
      <w:r w:rsidRPr="00F606F7">
        <w:rPr>
          <w:rFonts w:ascii="Times New Roman" w:eastAsia="Times New Roman" w:hAnsi="Times New Roman" w:cs="Times New Roman"/>
        </w:rPr>
        <w:t>Lionello</w:t>
      </w:r>
      <w:proofErr w:type="spellEnd"/>
      <w:r w:rsidRPr="00F606F7">
        <w:rPr>
          <w:rFonts w:ascii="Times New Roman" w:eastAsia="Times New Roman" w:hAnsi="Times New Roman" w:cs="Times New Roman"/>
        </w:rPr>
        <w:t xml:space="preserve">, Lorenzo and </w:t>
      </w:r>
      <w:proofErr w:type="spellStart"/>
      <w:r w:rsidRPr="00F606F7">
        <w:rPr>
          <w:rFonts w:ascii="Times New Roman" w:eastAsia="Times New Roman" w:hAnsi="Times New Roman" w:cs="Times New Roman"/>
        </w:rPr>
        <w:t>Stranges</w:t>
      </w:r>
      <w:proofErr w:type="spellEnd"/>
      <w:r w:rsidRPr="00F606F7">
        <w:rPr>
          <w:rFonts w:ascii="Times New Roman" w:eastAsia="Times New Roman" w:hAnsi="Times New Roman" w:cs="Times New Roman"/>
        </w:rPr>
        <w:t xml:space="preserve">, Debora and </w:t>
      </w:r>
      <w:proofErr w:type="spellStart"/>
      <w:r w:rsidRPr="00F606F7">
        <w:rPr>
          <w:rFonts w:ascii="Times New Roman" w:eastAsia="Times New Roman" w:hAnsi="Times New Roman" w:cs="Times New Roman"/>
        </w:rPr>
        <w:t>Karki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Tommi</w:t>
      </w:r>
      <w:proofErr w:type="spellEnd"/>
      <w:r w:rsidRPr="00F606F7">
        <w:rPr>
          <w:rFonts w:ascii="Times New Roman" w:eastAsia="Times New Roman" w:hAnsi="Times New Roman" w:cs="Times New Roman"/>
        </w:rPr>
        <w:t xml:space="preserve"> and Wiltshire, Emma and </w:t>
      </w:r>
      <w:proofErr w:type="spellStart"/>
      <w:r w:rsidRPr="00F606F7">
        <w:rPr>
          <w:rFonts w:ascii="Times New Roman" w:eastAsia="Times New Roman" w:hAnsi="Times New Roman" w:cs="Times New Roman"/>
        </w:rPr>
        <w:t>Proietti</w:t>
      </w:r>
      <w:proofErr w:type="spellEnd"/>
      <w:r w:rsidRPr="00F606F7">
        <w:rPr>
          <w:rFonts w:ascii="Times New Roman" w:eastAsia="Times New Roman" w:hAnsi="Times New Roman" w:cs="Times New Roman"/>
        </w:rPr>
        <w:t xml:space="preserve">, Chiara and </w:t>
      </w:r>
      <w:proofErr w:type="spellStart"/>
      <w:r w:rsidRPr="00F606F7">
        <w:rPr>
          <w:rFonts w:ascii="Times New Roman" w:eastAsia="Times New Roman" w:hAnsi="Times New Roman" w:cs="Times New Roman"/>
        </w:rPr>
        <w:t>Annunziato</w:t>
      </w:r>
      <w:proofErr w:type="spellEnd"/>
      <w:r w:rsidRPr="00F606F7">
        <w:rPr>
          <w:rFonts w:ascii="Times New Roman" w:eastAsia="Times New Roman" w:hAnsi="Times New Roman" w:cs="Times New Roman"/>
        </w:rPr>
        <w:t xml:space="preserve">, Alessandro and </w:t>
      </w:r>
      <w:proofErr w:type="spellStart"/>
      <w:r w:rsidRPr="00F606F7">
        <w:rPr>
          <w:rFonts w:ascii="Times New Roman" w:eastAsia="Times New Roman" w:hAnsi="Times New Roman" w:cs="Times New Roman"/>
        </w:rPr>
        <w:t>Jansa</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Josep</w:t>
      </w:r>
      <w:proofErr w:type="spellEnd"/>
      <w:r w:rsidRPr="00F606F7">
        <w:rPr>
          <w:rFonts w:ascii="Times New Roman" w:eastAsia="Times New Roman" w:hAnsi="Times New Roman" w:cs="Times New Roman"/>
        </w:rPr>
        <w:t xml:space="preserve"> and </w:t>
      </w:r>
      <w:proofErr w:type="spellStart"/>
      <w:r w:rsidRPr="00F606F7">
        <w:rPr>
          <w:rFonts w:ascii="Times New Roman" w:eastAsia="Times New Roman" w:hAnsi="Times New Roman" w:cs="Times New Roman"/>
        </w:rPr>
        <w:t>Severi</w:t>
      </w:r>
      <w:proofErr w:type="spellEnd"/>
      <w:r w:rsidRPr="00F606F7">
        <w:rPr>
          <w:rFonts w:ascii="Times New Roman" w:eastAsia="Times New Roman" w:hAnsi="Times New Roman" w:cs="Times New Roman"/>
        </w:rPr>
        <w:t xml:space="preserve">, Ettore and on behalf of the ECDC–JRC Response Measures Database working group, Non-pharmaceutical interventions in response to the COVID-19 </w:t>
      </w:r>
      <w:r w:rsidRPr="00F606F7">
        <w:rPr>
          <w:rFonts w:ascii="Times New Roman" w:eastAsia="Times New Roman" w:hAnsi="Times New Roman" w:cs="Times New Roman"/>
        </w:rPr>
        <w:lastRenderedPageBreak/>
        <w:t xml:space="preserve">pandemic in 30 European countries: the ECDC–JRC Response Measures Database </w:t>
      </w:r>
      <w:proofErr w:type="spellStart"/>
      <w:r w:rsidRPr="00F606F7">
        <w:rPr>
          <w:rFonts w:ascii="Times New Roman" w:eastAsia="Times New Roman" w:hAnsi="Times New Roman" w:cs="Times New Roman"/>
        </w:rPr>
        <w:t>Eurosurveillance</w:t>
      </w:r>
      <w:proofErr w:type="spellEnd"/>
      <w:r w:rsidRPr="00F606F7">
        <w:rPr>
          <w:rFonts w:ascii="Times New Roman" w:eastAsia="Times New Roman" w:hAnsi="Times New Roman" w:cs="Times New Roman"/>
        </w:rPr>
        <w:t xml:space="preserve">, 27, 2101190 (2022), </w:t>
      </w:r>
      <w:hyperlink r:id="rId48" w:tooltip="https://doi.org/10.2807/1560-7917.ES.2022.27.41.2101190" w:history="1">
        <w:r w:rsidRPr="00F606F7">
          <w:rPr>
            <w:rStyle w:val="Hyperlink"/>
            <w:rFonts w:ascii="Times New Roman" w:eastAsia="Times New Roman" w:hAnsi="Times New Roman" w:cs="Times New Roman"/>
            <w:color w:val="auto"/>
          </w:rPr>
          <w:t>https://doi.org/10.2807/1560-7917.ES.2022.27.41.2101190</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eastAsia="Times New Roman" w:hAnsi="Times New Roman" w:cs="Times New Roman"/>
        </w:rPr>
        <w:t xml:space="preserve">Michael </w:t>
      </w:r>
      <w:proofErr w:type="spellStart"/>
      <w:r w:rsidRPr="00F606F7">
        <w:rPr>
          <w:rFonts w:ascii="Times New Roman" w:eastAsia="Times New Roman" w:hAnsi="Times New Roman" w:cs="Times New Roman"/>
        </w:rPr>
        <w:t>Lingzhi</w:t>
      </w:r>
      <w:proofErr w:type="spellEnd"/>
      <w:r w:rsidRPr="00F606F7">
        <w:rPr>
          <w:rFonts w:ascii="Times New Roman" w:eastAsia="Times New Roman" w:hAnsi="Times New Roman" w:cs="Times New Roman"/>
        </w:rPr>
        <w:t xml:space="preserve"> Li, Hamza Tazi </w:t>
      </w:r>
      <w:proofErr w:type="spellStart"/>
      <w:r w:rsidRPr="00F606F7">
        <w:rPr>
          <w:rFonts w:ascii="Times New Roman" w:eastAsia="Times New Roman" w:hAnsi="Times New Roman" w:cs="Times New Roman"/>
        </w:rPr>
        <w:t>Bouardi</w:t>
      </w:r>
      <w:proofErr w:type="spellEnd"/>
      <w:r w:rsidRPr="00F606F7">
        <w:rPr>
          <w:rFonts w:ascii="Times New Roman" w:eastAsia="Times New Roman" w:hAnsi="Times New Roman" w:cs="Times New Roman"/>
        </w:rPr>
        <w:t xml:space="preserve">, Omar </w:t>
      </w:r>
      <w:proofErr w:type="spellStart"/>
      <w:r w:rsidRPr="00F606F7">
        <w:rPr>
          <w:rFonts w:ascii="Times New Roman" w:eastAsia="Times New Roman" w:hAnsi="Times New Roman" w:cs="Times New Roman"/>
        </w:rPr>
        <w:t>Skali</w:t>
      </w:r>
      <w:proofErr w:type="spellEnd"/>
      <w:r w:rsidRPr="00F606F7">
        <w:rPr>
          <w:rFonts w:ascii="Times New Roman" w:eastAsia="Times New Roman" w:hAnsi="Times New Roman" w:cs="Times New Roman"/>
        </w:rPr>
        <w:t xml:space="preserve"> </w:t>
      </w:r>
      <w:proofErr w:type="spellStart"/>
      <w:r w:rsidRPr="00F606F7">
        <w:rPr>
          <w:rFonts w:ascii="Times New Roman" w:eastAsia="Times New Roman" w:hAnsi="Times New Roman" w:cs="Times New Roman"/>
        </w:rPr>
        <w:t>Lami</w:t>
      </w:r>
      <w:proofErr w:type="spellEnd"/>
      <w:r w:rsidRPr="00F606F7">
        <w:rPr>
          <w:rFonts w:ascii="Times New Roman" w:eastAsia="Times New Roman" w:hAnsi="Times New Roman" w:cs="Times New Roman"/>
        </w:rPr>
        <w:t xml:space="preserve">, Thomas A. </w:t>
      </w:r>
      <w:proofErr w:type="spellStart"/>
      <w:r w:rsidRPr="00F606F7">
        <w:rPr>
          <w:rFonts w:ascii="Times New Roman" w:eastAsia="Times New Roman" w:hAnsi="Times New Roman" w:cs="Times New Roman"/>
        </w:rPr>
        <w:t>Trikalinos</w:t>
      </w:r>
      <w:proofErr w:type="spellEnd"/>
      <w:r w:rsidRPr="00F606F7">
        <w:rPr>
          <w:rFonts w:ascii="Times New Roman" w:eastAsia="Times New Roman" w:hAnsi="Times New Roman" w:cs="Times New Roman"/>
        </w:rPr>
        <w:t xml:space="preserve">, Nikolaos </w:t>
      </w:r>
      <w:proofErr w:type="spellStart"/>
      <w:r w:rsidRPr="00F606F7">
        <w:rPr>
          <w:rFonts w:ascii="Times New Roman" w:eastAsia="Times New Roman" w:hAnsi="Times New Roman" w:cs="Times New Roman"/>
        </w:rPr>
        <w:t>Trichakis</w:t>
      </w:r>
      <w:proofErr w:type="spellEnd"/>
      <w:r w:rsidRPr="00F606F7">
        <w:rPr>
          <w:rFonts w:ascii="Times New Roman" w:eastAsia="Times New Roman" w:hAnsi="Times New Roman" w:cs="Times New Roman"/>
        </w:rPr>
        <w:t xml:space="preserve">, Dimitris Bertsimas (2022) Forecasting COVID-19 and Analyzing the Effect of Government Interventions. Operations Research 71(1):184-201. </w:t>
      </w:r>
      <w:hyperlink r:id="rId49" w:tooltip="https://doi.org/10.1287/opre.2022.2306" w:history="1">
        <w:r w:rsidRPr="00F606F7">
          <w:rPr>
            <w:rStyle w:val="Hyperlink"/>
            <w:rFonts w:ascii="Times New Roman" w:eastAsia="Times New Roman" w:hAnsi="Times New Roman" w:cs="Times New Roman"/>
            <w:color w:val="auto"/>
          </w:rPr>
          <w:t>https://doi.org/10.1287/opre.2022.2306</w:t>
        </w:r>
      </w:hyperlink>
    </w:p>
    <w:p w:rsidR="00896D6C" w:rsidRPr="00F606F7" w:rsidRDefault="002D7DE5" w:rsidP="00413D81">
      <w:pPr>
        <w:spacing w:after="0"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M.O. </w:t>
      </w:r>
      <w:proofErr w:type="spellStart"/>
      <w:r w:rsidRPr="00F606F7">
        <w:rPr>
          <w:rFonts w:ascii="Times New Roman" w:eastAsia="Times New Roman" w:hAnsi="Times New Roman" w:cs="Times New Roman"/>
        </w:rPr>
        <w:t>Alassafi</w:t>
      </w:r>
      <w:proofErr w:type="spellEnd"/>
      <w:r w:rsidRPr="00F606F7">
        <w:rPr>
          <w:rFonts w:ascii="Times New Roman" w:eastAsia="Times New Roman" w:hAnsi="Times New Roman" w:cs="Times New Roman"/>
        </w:rPr>
        <w:t xml:space="preserve">, M. Jarrah, R. </w:t>
      </w:r>
      <w:proofErr w:type="spellStart"/>
      <w:r w:rsidRPr="00F606F7">
        <w:rPr>
          <w:rFonts w:ascii="Times New Roman" w:eastAsia="Times New Roman" w:hAnsi="Times New Roman" w:cs="Times New Roman"/>
        </w:rPr>
        <w:t>Alotaibi</w:t>
      </w:r>
      <w:proofErr w:type="spellEnd"/>
      <w:r w:rsidRPr="00F606F7">
        <w:rPr>
          <w:rFonts w:ascii="Times New Roman" w:eastAsia="Times New Roman" w:hAnsi="Times New Roman" w:cs="Times New Roman"/>
        </w:rPr>
        <w:t xml:space="preserve">, Time series predicting of COVID-19 based on deep learning </w:t>
      </w:r>
      <w:proofErr w:type="spellStart"/>
      <w:r w:rsidRPr="00F606F7">
        <w:rPr>
          <w:rFonts w:ascii="Times New Roman" w:eastAsia="Times New Roman" w:hAnsi="Times New Roman" w:cs="Times New Roman"/>
        </w:rPr>
        <w:t>Neurocomputing</w:t>
      </w:r>
      <w:proofErr w:type="spellEnd"/>
      <w:r w:rsidRPr="00F606F7">
        <w:rPr>
          <w:rFonts w:ascii="Times New Roman" w:eastAsia="Times New Roman" w:hAnsi="Times New Roman" w:cs="Times New Roman"/>
        </w:rPr>
        <w:t xml:space="preserve">, 468 (2022), pp. 335-344, </w:t>
      </w:r>
      <w:hyperlink r:id="rId50" w:tooltip="https://doi.org/10.1016/j.neucom.2021.10.035" w:history="1">
        <w:r w:rsidRPr="00F606F7">
          <w:rPr>
            <w:rFonts w:ascii="Times New Roman" w:eastAsia="Times New Roman" w:hAnsi="Times New Roman" w:cs="Times New Roman"/>
            <w:u w:val="single"/>
          </w:rPr>
          <w:t>10.1016/j.neucom.2021.10.035</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r w:rsidRPr="00F606F7">
        <w:rPr>
          <w:rFonts w:ascii="Times New Roman" w:eastAsia="Times New Roman" w:hAnsi="Times New Roman" w:cs="Times New Roman"/>
        </w:rPr>
        <w:t xml:space="preserve">Nguyen, M.H., Nguyen, T.H.T., </w:t>
      </w:r>
      <w:proofErr w:type="spellStart"/>
      <w:r w:rsidRPr="00F606F7">
        <w:rPr>
          <w:rFonts w:ascii="Times New Roman" w:eastAsia="Times New Roman" w:hAnsi="Times New Roman" w:cs="Times New Roman"/>
        </w:rPr>
        <w:t>Molenberghs</w:t>
      </w:r>
      <w:proofErr w:type="spellEnd"/>
      <w:r w:rsidRPr="00F606F7">
        <w:rPr>
          <w:rFonts w:ascii="Times New Roman" w:eastAsia="Times New Roman" w:hAnsi="Times New Roman" w:cs="Times New Roman"/>
        </w:rPr>
        <w:t xml:space="preserve">, G. et al. The impact of national and international travel on </w:t>
      </w:r>
      <w:proofErr w:type="spellStart"/>
      <w:r w:rsidRPr="00F606F7">
        <w:rPr>
          <w:rFonts w:ascii="Times New Roman" w:eastAsia="Times New Roman" w:hAnsi="Times New Roman" w:cs="Times New Roman"/>
        </w:rPr>
        <w:t>spatio</w:t>
      </w:r>
      <w:proofErr w:type="spellEnd"/>
      <w:r w:rsidRPr="00F606F7">
        <w:rPr>
          <w:rFonts w:ascii="Times New Roman" w:eastAsia="Times New Roman" w:hAnsi="Times New Roman" w:cs="Times New Roman"/>
        </w:rPr>
        <w:t xml:space="preserve">-temporal transmission of SARS-CoV-2 in Belgium in 2021. BMC Infect Dis 23, 428 (2023). </w:t>
      </w:r>
      <w:hyperlink r:id="rId51" w:tooltip="https://doi.org/10.1186/s12879-023-08368-9" w:history="1">
        <w:r w:rsidRPr="00F606F7">
          <w:rPr>
            <w:rStyle w:val="Hyperlink"/>
            <w:rFonts w:ascii="Times New Roman" w:eastAsia="Times New Roman" w:hAnsi="Times New Roman" w:cs="Times New Roman"/>
            <w:color w:val="auto"/>
          </w:rPr>
          <w:t>https://doi.org/10.1186/s12879-023-08368-9</w:t>
        </w:r>
      </w:hyperlink>
    </w:p>
    <w:p w:rsidR="00F606F7" w:rsidRPr="00F606F7" w:rsidRDefault="00F606F7"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Nowak, S.A., </w:t>
      </w:r>
      <w:proofErr w:type="spellStart"/>
      <w:r w:rsidRPr="00F606F7">
        <w:rPr>
          <w:rFonts w:ascii="Times New Roman" w:hAnsi="Times New Roman" w:cs="Times New Roman"/>
        </w:rPr>
        <w:t>Nascimento</w:t>
      </w:r>
      <w:proofErr w:type="spellEnd"/>
      <w:r w:rsidRPr="00F606F7">
        <w:rPr>
          <w:rFonts w:ascii="Times New Roman" w:hAnsi="Times New Roman" w:cs="Times New Roman"/>
        </w:rPr>
        <w:t xml:space="preserve"> de Lima, P. &amp; </w:t>
      </w:r>
      <w:proofErr w:type="spellStart"/>
      <w:r w:rsidRPr="00F606F7">
        <w:rPr>
          <w:rFonts w:ascii="Times New Roman" w:hAnsi="Times New Roman" w:cs="Times New Roman"/>
        </w:rPr>
        <w:t>Vardavas</w:t>
      </w:r>
      <w:proofErr w:type="spellEnd"/>
      <w:r w:rsidRPr="00F606F7">
        <w:rPr>
          <w:rFonts w:ascii="Times New Roman" w:hAnsi="Times New Roman" w:cs="Times New Roman"/>
        </w:rPr>
        <w:t xml:space="preserve">, R. Optimal non-pharmaceutical pandemic response strategies depend critically on time horizons and costs. </w:t>
      </w:r>
      <w:proofErr w:type="spellStart"/>
      <w:r w:rsidRPr="00F606F7">
        <w:rPr>
          <w:rFonts w:ascii="Times New Roman" w:hAnsi="Times New Roman" w:cs="Times New Roman"/>
        </w:rPr>
        <w:t>Sci</w:t>
      </w:r>
      <w:proofErr w:type="spellEnd"/>
      <w:r w:rsidRPr="00F606F7">
        <w:rPr>
          <w:rFonts w:ascii="Times New Roman" w:hAnsi="Times New Roman" w:cs="Times New Roman"/>
        </w:rPr>
        <w:t xml:space="preserve"> Rep 13, 2416 (2023). </w:t>
      </w:r>
      <w:hyperlink r:id="rId52" w:history="1">
        <w:r w:rsidRPr="00F606F7">
          <w:rPr>
            <w:rStyle w:val="Hyperlink"/>
            <w:rFonts w:ascii="Times New Roman" w:hAnsi="Times New Roman" w:cs="Times New Roman"/>
            <w:color w:val="auto"/>
          </w:rPr>
          <w:t>https://doi.org/10.1038/s41598-023-28936-y</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eastAsia="Times New Roman" w:hAnsi="Times New Roman" w:cs="Times New Roman"/>
        </w:rPr>
        <w:t>Pozo</w:t>
      </w:r>
      <w:proofErr w:type="spellEnd"/>
      <w:r w:rsidRPr="00F606F7">
        <w:rPr>
          <w:rFonts w:ascii="Times New Roman" w:eastAsia="Times New Roman" w:hAnsi="Times New Roman" w:cs="Times New Roman"/>
        </w:rPr>
        <w:t xml:space="preserve">-Martin, F., Beltran Sanchez, M.A., Müller, S.A. et al. Comparative effectiveness of contact tracing interventions in the context of the COVID-19 pandemic: a systematic review. </w:t>
      </w:r>
      <w:proofErr w:type="spellStart"/>
      <w:r w:rsidRPr="00F606F7">
        <w:rPr>
          <w:rFonts w:ascii="Times New Roman" w:eastAsia="Times New Roman" w:hAnsi="Times New Roman" w:cs="Times New Roman"/>
        </w:rPr>
        <w:t>Eur</w:t>
      </w:r>
      <w:proofErr w:type="spellEnd"/>
      <w:r w:rsidRPr="00F606F7">
        <w:rPr>
          <w:rFonts w:ascii="Times New Roman" w:eastAsia="Times New Roman" w:hAnsi="Times New Roman" w:cs="Times New Roman"/>
        </w:rPr>
        <w:t xml:space="preserve"> J </w:t>
      </w:r>
      <w:proofErr w:type="spellStart"/>
      <w:r w:rsidRPr="00F606F7">
        <w:rPr>
          <w:rFonts w:ascii="Times New Roman" w:eastAsia="Times New Roman" w:hAnsi="Times New Roman" w:cs="Times New Roman"/>
        </w:rPr>
        <w:t>Epidemiol</w:t>
      </w:r>
      <w:proofErr w:type="spellEnd"/>
      <w:r w:rsidRPr="00F606F7">
        <w:rPr>
          <w:rFonts w:ascii="Times New Roman" w:eastAsia="Times New Roman" w:hAnsi="Times New Roman" w:cs="Times New Roman"/>
        </w:rPr>
        <w:t xml:space="preserve"> 38, 243–266 (2023). </w:t>
      </w:r>
      <w:hyperlink r:id="rId53" w:tooltip="https://doi.org/10.1007/s10654-023-00963-z" w:history="1">
        <w:r w:rsidRPr="00F606F7">
          <w:rPr>
            <w:rStyle w:val="Hyperlink"/>
            <w:rFonts w:ascii="Times New Roman" w:eastAsia="Times New Roman" w:hAnsi="Times New Roman" w:cs="Times New Roman"/>
            <w:color w:val="auto"/>
          </w:rPr>
          <w:t>https://doi.org/10.1007/s10654-023-00963-z</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eastAsia="Times New Roman" w:hAnsi="Times New Roman" w:cs="Times New Roman"/>
        </w:rPr>
        <w:t>Pung</w:t>
      </w:r>
      <w:proofErr w:type="spellEnd"/>
      <w:r w:rsidRPr="00F606F7">
        <w:rPr>
          <w:rFonts w:ascii="Times New Roman" w:eastAsia="Times New Roman" w:hAnsi="Times New Roman" w:cs="Times New Roman"/>
        </w:rPr>
        <w:t xml:space="preserve">, R., </w:t>
      </w:r>
      <w:proofErr w:type="spellStart"/>
      <w:r w:rsidRPr="00F606F7">
        <w:rPr>
          <w:rFonts w:ascii="Times New Roman" w:eastAsia="Times New Roman" w:hAnsi="Times New Roman" w:cs="Times New Roman"/>
        </w:rPr>
        <w:t>Clapham</w:t>
      </w:r>
      <w:proofErr w:type="spellEnd"/>
      <w:r w:rsidRPr="00F606F7">
        <w:rPr>
          <w:rFonts w:ascii="Times New Roman" w:eastAsia="Times New Roman" w:hAnsi="Times New Roman" w:cs="Times New Roman"/>
        </w:rPr>
        <w:t>, H.E., Russell, T.W. et al. Relative role of border restrictions, case finding and contact tracing in controlling SARS-CoV-2 in the presence of undetected transmission: a mathematical modelling study. BMC Med 21, 97 (2023).</w:t>
      </w:r>
      <w:hyperlink r:id="rId54" w:tooltip="https://doi.org/10.1186/s12916-023-02802-0" w:history="1">
        <w:r w:rsidRPr="00F606F7">
          <w:rPr>
            <w:rStyle w:val="Hyperlink"/>
            <w:rFonts w:ascii="Times New Roman" w:eastAsia="Times New Roman" w:hAnsi="Times New Roman" w:cs="Times New Roman"/>
            <w:color w:val="auto"/>
          </w:rPr>
          <w:t>https://doi.org/10.1186/s12916-023-02802-0</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Radford M Neal. Bayesian learning for neural networks. PhD thesis, University of Toronto, 1995.</w:t>
      </w:r>
    </w:p>
    <w:p w:rsidR="00896D6C" w:rsidRPr="00F606F7" w:rsidRDefault="002D7DE5" w:rsidP="00413D81">
      <w:pPr>
        <w:spacing w:after="0" w:line="240" w:lineRule="auto"/>
        <w:jc w:val="both"/>
        <w:rPr>
          <w:rFonts w:ascii="Times New Roman" w:eastAsia="Times New Roman" w:hAnsi="Times New Roman" w:cs="Times New Roman"/>
        </w:rPr>
      </w:pPr>
      <w:r w:rsidRPr="00F606F7">
        <w:rPr>
          <w:rFonts w:ascii="Times New Roman" w:eastAsia="Times New Roman" w:hAnsi="Times New Roman" w:cs="Times New Roman"/>
        </w:rPr>
        <w:t xml:space="preserve">T. Sinha, T. Chowdhury, R.N. Shaw, A. Ghosh, Analysis and prediction of COVID-19 confirmed cases using deep learning models: A comparative study, Advanced Computing and Intelligent Technologies, Springer, Singapore (2022), pp. 207-218, </w:t>
      </w:r>
      <w:hyperlink r:id="rId55" w:tooltip="https://doi.org/10.1007/978-981-16-2164-2_18" w:history="1">
        <w:r w:rsidRPr="00F606F7">
          <w:rPr>
            <w:rFonts w:ascii="Times New Roman" w:eastAsia="Times New Roman" w:hAnsi="Times New Roman" w:cs="Times New Roman"/>
            <w:u w:val="single"/>
          </w:rPr>
          <w:t>10.1007/978-981-16-2164-2_18</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eastAsia="Times New Roman" w:hAnsi="Times New Roman" w:cs="Times New Roman"/>
          <w:color w:val="auto"/>
        </w:rPr>
      </w:pPr>
      <w:r w:rsidRPr="00F606F7">
        <w:rPr>
          <w:rFonts w:ascii="Times New Roman" w:eastAsia="Times New Roman" w:hAnsi="Times New Roman" w:cs="Times New Roman"/>
        </w:rPr>
        <w:t xml:space="preserve">Stokes, J., Turner, A.J., </w:t>
      </w:r>
      <w:proofErr w:type="spellStart"/>
      <w:r w:rsidRPr="00F606F7">
        <w:rPr>
          <w:rFonts w:ascii="Times New Roman" w:eastAsia="Times New Roman" w:hAnsi="Times New Roman" w:cs="Times New Roman"/>
        </w:rPr>
        <w:t>Anselmi</w:t>
      </w:r>
      <w:proofErr w:type="spellEnd"/>
      <w:r w:rsidRPr="00F606F7">
        <w:rPr>
          <w:rFonts w:ascii="Times New Roman" w:eastAsia="Times New Roman" w:hAnsi="Times New Roman" w:cs="Times New Roman"/>
        </w:rPr>
        <w:t xml:space="preserve">, L. </w:t>
      </w:r>
      <w:r w:rsidRPr="00F606F7">
        <w:rPr>
          <w:rFonts w:ascii="Times New Roman" w:eastAsia="Times New Roman" w:hAnsi="Times New Roman" w:cs="Times New Roman"/>
          <w:i/>
        </w:rPr>
        <w:t>et al.</w:t>
      </w:r>
      <w:r w:rsidRPr="00F606F7">
        <w:rPr>
          <w:rFonts w:ascii="Times New Roman" w:eastAsia="Times New Roman" w:hAnsi="Times New Roman" w:cs="Times New Roman"/>
        </w:rPr>
        <w:t xml:space="preserve"> The relative effects of non-pharmaceutical interventions on wave one Covid-19 mortality: natural experiment in 130 countries. </w:t>
      </w:r>
      <w:r w:rsidRPr="00F606F7">
        <w:rPr>
          <w:rFonts w:ascii="Times New Roman" w:eastAsia="Times New Roman" w:hAnsi="Times New Roman" w:cs="Times New Roman"/>
          <w:i/>
        </w:rPr>
        <w:t>BMC Public Health</w:t>
      </w:r>
      <w:r w:rsidRPr="00F606F7">
        <w:rPr>
          <w:rFonts w:ascii="Times New Roman" w:eastAsia="Times New Roman" w:hAnsi="Times New Roman" w:cs="Times New Roman"/>
          <w:b/>
        </w:rPr>
        <w:t>22</w:t>
      </w:r>
      <w:r w:rsidRPr="00F606F7">
        <w:rPr>
          <w:rFonts w:ascii="Times New Roman" w:eastAsia="Times New Roman" w:hAnsi="Times New Roman" w:cs="Times New Roman"/>
        </w:rPr>
        <w:t xml:space="preserve">, 1113 (2022). </w:t>
      </w:r>
      <w:hyperlink r:id="rId56" w:tooltip="https://doi.org/10.1186/s12889-022-13546-6" w:history="1">
        <w:r w:rsidRPr="00F606F7">
          <w:rPr>
            <w:rStyle w:val="Hyperlink"/>
            <w:rFonts w:ascii="Times New Roman" w:eastAsia="Times New Roman" w:hAnsi="Times New Roman" w:cs="Times New Roman"/>
            <w:color w:val="auto"/>
          </w:rPr>
          <w:t>https://doi.org/10.1186/s12889-022-13546-6</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Style w:val="Hyperlink"/>
          <w:rFonts w:ascii="Times New Roman" w:hAnsi="Times New Roman" w:cs="Times New Roman"/>
          <w:color w:val="auto"/>
        </w:rPr>
      </w:pPr>
      <w:proofErr w:type="spellStart"/>
      <w:r w:rsidRPr="00F606F7">
        <w:rPr>
          <w:rFonts w:ascii="Times New Roman" w:hAnsi="Times New Roman" w:cs="Times New Roman"/>
        </w:rPr>
        <w:t>Wiemken</w:t>
      </w:r>
      <w:proofErr w:type="spellEnd"/>
      <w:r w:rsidRPr="00F606F7">
        <w:rPr>
          <w:rFonts w:ascii="Times New Roman" w:hAnsi="Times New Roman" w:cs="Times New Roman"/>
        </w:rPr>
        <w:t xml:space="preserve">, T.L., Khan, F., </w:t>
      </w:r>
      <w:proofErr w:type="spellStart"/>
      <w:r w:rsidRPr="00F606F7">
        <w:rPr>
          <w:rFonts w:ascii="Times New Roman" w:hAnsi="Times New Roman" w:cs="Times New Roman"/>
        </w:rPr>
        <w:t>Puzniak</w:t>
      </w:r>
      <w:proofErr w:type="spellEnd"/>
      <w:r w:rsidRPr="00F606F7">
        <w:rPr>
          <w:rFonts w:ascii="Times New Roman" w:hAnsi="Times New Roman" w:cs="Times New Roman"/>
        </w:rPr>
        <w:t xml:space="preserve">, L. et al. Seasonal trends in COVID-19 cases, hospitalizations, and mortality in the United States and Europe. </w:t>
      </w:r>
      <w:proofErr w:type="spellStart"/>
      <w:r w:rsidRPr="00F606F7">
        <w:rPr>
          <w:rFonts w:ascii="Times New Roman" w:hAnsi="Times New Roman" w:cs="Times New Roman"/>
        </w:rPr>
        <w:t>Sci</w:t>
      </w:r>
      <w:proofErr w:type="spellEnd"/>
      <w:r w:rsidRPr="00F606F7">
        <w:rPr>
          <w:rFonts w:ascii="Times New Roman" w:hAnsi="Times New Roman" w:cs="Times New Roman"/>
        </w:rPr>
        <w:t xml:space="preserve"> Rep 13, 3886 (2023). </w:t>
      </w:r>
      <w:hyperlink r:id="rId57" w:tooltip="https://doi.org/10.1038/s41598-023-31057-1" w:history="1">
        <w:r w:rsidRPr="00F606F7">
          <w:rPr>
            <w:rStyle w:val="Hyperlink"/>
            <w:rFonts w:ascii="Times New Roman" w:hAnsi="Times New Roman" w:cs="Times New Roman"/>
            <w:color w:val="auto"/>
          </w:rPr>
          <w:t>https://doi.org/10.1038/s41598-023-31057-1</w:t>
        </w:r>
      </w:hyperlink>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r w:rsidRPr="00F606F7">
        <w:rPr>
          <w:rFonts w:ascii="Times New Roman" w:hAnsi="Times New Roman" w:cs="Times New Roman"/>
        </w:rPr>
        <w:t xml:space="preserve">Yamashita, R., M. </w:t>
      </w:r>
      <w:proofErr w:type="spellStart"/>
      <w:r w:rsidRPr="00F606F7">
        <w:rPr>
          <w:rFonts w:ascii="Times New Roman" w:hAnsi="Times New Roman" w:cs="Times New Roman"/>
        </w:rPr>
        <w:t>Nishio</w:t>
      </w:r>
      <w:proofErr w:type="spellEnd"/>
      <w:r w:rsidRPr="00F606F7">
        <w:rPr>
          <w:rFonts w:ascii="Times New Roman" w:hAnsi="Times New Roman" w:cs="Times New Roman"/>
        </w:rPr>
        <w:t xml:space="preserve">, R. K. G. Do, and K. </w:t>
      </w:r>
      <w:proofErr w:type="spellStart"/>
      <w:r w:rsidRPr="00F606F7">
        <w:rPr>
          <w:rFonts w:ascii="Times New Roman" w:hAnsi="Times New Roman" w:cs="Times New Roman"/>
        </w:rPr>
        <w:t>Togashi</w:t>
      </w:r>
      <w:proofErr w:type="spellEnd"/>
      <w:r w:rsidRPr="00F606F7">
        <w:rPr>
          <w:rFonts w:ascii="Times New Roman" w:hAnsi="Times New Roman" w:cs="Times New Roman"/>
        </w:rPr>
        <w:t>. 2018. Convolutional neural networks: An overview and application in radiology. Insights into Imaging 9 (4):611–29. doi:10.1007/s13244-018-0639-9.</w:t>
      </w:r>
    </w:p>
    <w:p w:rsidR="00896D6C" w:rsidRPr="00F606F7" w:rsidRDefault="002D7DE5" w:rsidP="00413D81">
      <w:pPr>
        <w:pBdr>
          <w:top w:val="none" w:sz="4" w:space="0" w:color="000000"/>
          <w:left w:val="none" w:sz="4" w:space="0" w:color="000000"/>
          <w:bottom w:val="none" w:sz="4" w:space="0" w:color="000000"/>
          <w:right w:val="none" w:sz="4" w:space="0" w:color="000000"/>
        </w:pBdr>
        <w:spacing w:line="240" w:lineRule="auto"/>
        <w:jc w:val="both"/>
        <w:rPr>
          <w:rFonts w:ascii="Times New Roman" w:hAnsi="Times New Roman" w:cs="Times New Roman"/>
        </w:rPr>
      </w:pPr>
      <w:proofErr w:type="spellStart"/>
      <w:r w:rsidRPr="00F606F7">
        <w:rPr>
          <w:rFonts w:ascii="Times New Roman" w:hAnsi="Times New Roman" w:cs="Times New Roman"/>
        </w:rPr>
        <w:t>Yeming</w:t>
      </w:r>
      <w:proofErr w:type="spellEnd"/>
      <w:r w:rsidRPr="00F606F7">
        <w:rPr>
          <w:rFonts w:ascii="Times New Roman" w:hAnsi="Times New Roman" w:cs="Times New Roman"/>
        </w:rPr>
        <w:t xml:space="preserve"> Wen, Paul </w:t>
      </w:r>
      <w:proofErr w:type="spellStart"/>
      <w:r w:rsidRPr="00F606F7">
        <w:rPr>
          <w:rFonts w:ascii="Times New Roman" w:hAnsi="Times New Roman" w:cs="Times New Roman"/>
        </w:rPr>
        <w:t>Vicol</w:t>
      </w:r>
      <w:proofErr w:type="spellEnd"/>
      <w:r w:rsidRPr="00F606F7">
        <w:rPr>
          <w:rFonts w:ascii="Times New Roman" w:hAnsi="Times New Roman" w:cs="Times New Roman"/>
        </w:rPr>
        <w:t xml:space="preserve">, Jimmy Ba, Dustin Tran, Roger Grosse. 2018. </w:t>
      </w:r>
      <w:proofErr w:type="spellStart"/>
      <w:r w:rsidRPr="00F606F7">
        <w:rPr>
          <w:rFonts w:ascii="Times New Roman" w:hAnsi="Times New Roman" w:cs="Times New Roman"/>
        </w:rPr>
        <w:t>Flipout</w:t>
      </w:r>
      <w:proofErr w:type="spellEnd"/>
      <w:r w:rsidRPr="00F606F7">
        <w:rPr>
          <w:rFonts w:ascii="Times New Roman" w:hAnsi="Times New Roman" w:cs="Times New Roman"/>
        </w:rPr>
        <w:t xml:space="preserve">: Efficient Pseudo-Independent Weight Perturbations on Mini-Batches. Machine Learning. </w:t>
      </w:r>
      <w:proofErr w:type="spellStart"/>
      <w:r w:rsidRPr="00F606F7">
        <w:rPr>
          <w:rFonts w:ascii="Times New Roman" w:hAnsi="Times New Roman" w:cs="Times New Roman"/>
        </w:rPr>
        <w:t>doi</w:t>
      </w:r>
      <w:proofErr w:type="spellEnd"/>
      <w:r w:rsidRPr="00F606F7">
        <w:rPr>
          <w:rFonts w:ascii="Times New Roman" w:hAnsi="Times New Roman" w:cs="Times New Roman"/>
        </w:rPr>
        <w:t xml:space="preserve">: </w:t>
      </w:r>
      <w:hyperlink r:id="rId58" w:tooltip="https://arxiv.org/abs/1803.04386" w:history="1">
        <w:r w:rsidRPr="00F606F7">
          <w:rPr>
            <w:rStyle w:val="Hyperlink"/>
            <w:rFonts w:ascii="Times New Roman" w:hAnsi="Times New Roman" w:cs="Times New Roman"/>
            <w:color w:val="auto"/>
          </w:rPr>
          <w:t>https://arxiv.org/abs/1803.04386</w:t>
        </w:r>
      </w:hyperlink>
    </w:p>
    <w:sectPr w:rsidR="00896D6C" w:rsidRPr="00F606F7">
      <w:pgSz w:w="12240" w:h="15840"/>
      <w:pgMar w:top="1440" w:right="1440" w:bottom="1440" w:left="1440" w:header="720" w:footer="720" w:gutter="0"/>
      <w:cols w:space="720"/>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Ulf Lotzmann" w:date="2023-07-01T01:47:00Z" w:initials="UL">
    <w:p w14:paraId="00000001" w14:textId="00000001">
      <w:pPr>
        <w:spacing w:line="240" w:after="0" w:lineRule="auto" w:before="0"/>
        <w:ind w:firstLine="0" w:left="0" w:right="0"/>
        <w:jc w:val="left"/>
      </w:pPr>
      <w:r>
        <w:rPr>
          <w:rFonts w:eastAsia="Arial" w:ascii="Arial" w:hAnsi="Arial" w:cs="Arial"/>
          <w:sz w:val="22"/>
        </w:rPr>
        <w:t xml:space="preserve">I think this should be “is”, not “are”.</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5A69D9B" w16cex:dateUtc="1970-01-01T00:00: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75A69D9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90BC8" w:rsidRDefault="00190BC8">
      <w:pPr>
        <w:spacing w:after="0" w:line="240" w:lineRule="auto"/>
      </w:pPr>
      <w:r>
        <w:separator/>
      </w:r>
    </w:p>
  </w:endnote>
  <w:endnote w:type="continuationSeparator" w:id="0">
    <w:p w:rsidR="00190BC8" w:rsidRDefault="00190B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90BC8" w:rsidRDefault="00190BC8">
      <w:pPr>
        <w:spacing w:after="0" w:line="240" w:lineRule="auto"/>
      </w:pPr>
      <w:r>
        <w:separator/>
      </w:r>
    </w:p>
  </w:footnote>
  <w:footnote w:type="continuationSeparator" w:id="0">
    <w:p w:rsidR="00190BC8" w:rsidRDefault="00190BC8">
      <w:pPr>
        <w:spacing w:after="0" w:line="240" w:lineRule="auto"/>
      </w:pPr>
      <w:r>
        <w:continuationSeparator/>
      </w:r>
    </w:p>
  </w:footnote>
  <w:footnote w:id="1">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The explanatory variables in our study are each country (as an independent variable) on itself, NPIs, vaccination policy, seasonality and virus mutations.</w:t>
      </w:r>
    </w:p>
  </w:footnote>
  <w:footnote w:id="2">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One possible interpretation of the selected basic criteria would be that our predictive neural network model is capable to predict the number of new positive cases </w:t>
      </w:r>
      <w:r>
        <w:rPr>
          <w:rFonts w:ascii="Times New Roman" w:hAnsi="Times New Roman" w:cs="Times New Roman"/>
          <w:i/>
        </w:rPr>
        <w:t>30 days ahead of the time</w:t>
      </w:r>
      <w:r>
        <w:rPr>
          <w:rFonts w:ascii="Times New Roman" w:hAnsi="Times New Roman" w:cs="Times New Roman"/>
        </w:rPr>
        <w:t xml:space="preserve"> by knowing the number of the today’s new positive cases and the set of input features of the upcoming 30 days.</w:t>
      </w:r>
    </w:p>
  </w:footnote>
  <w:footnote w:id="3">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https://www.ecdc.europa.eu/en</w:t>
      </w:r>
    </w:p>
  </w:footnote>
  <w:footnote w:id="4">
    <w:p w:rsidR="00387A34" w:rsidRDefault="00387A34" w:rsidP="00C17F48">
      <w:pPr>
        <w:pStyle w:val="FootnoteText"/>
        <w:jc w:val="both"/>
      </w:pPr>
      <w:r>
        <w:rPr>
          <w:rStyle w:val="FootnoteReference"/>
        </w:rPr>
        <w:footnoteRef/>
      </w:r>
      <w:r>
        <w:t xml:space="preserve"> </w:t>
      </w:r>
      <w:r>
        <w:rPr>
          <w:rFonts w:ascii="Times New Roman" w:hAnsi="Times New Roman" w:cs="Times New Roman"/>
        </w:rPr>
        <w:t>Thereby we decided to confine the time scope of the study regrading some countries to the dates mentioned in table 2 e.g. just until 2021 data, even though more data for a wider range were also available. The reason is that in the case of Hungary and Iceland, within the recent phases of the pandemic, only data on 1 or 2 days per week are non-zero numbers followed by numbers far away from zero, which might generate outlier ranges of reproduction rates of infections, corresponded to some NPIs. In the case of Liechtenstein, reported numbers of infections until October 2020 are multiple blocks of zero together with rare non zero numbers.</w:t>
      </w:r>
    </w:p>
  </w:footnote>
  <w:footnote w:id="5">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Before incorporating the data regarding the number of new reported cases over all countries (containing 28729 rows), the data table of new cases is cleaned especially in two respects. First, in 1275 rows the reported zero daily cases of positive infections are modified by us to be 1. This is done in order to enable the program to compute the monthly reproduction rates without being troubled through a number divided by zero. Second, in 93 rows, the reported number of positive cases are missing (</w:t>
      </w:r>
      <w:proofErr w:type="spellStart"/>
      <w:r>
        <w:rPr>
          <w:rFonts w:ascii="Times New Roman" w:hAnsi="Times New Roman" w:cs="Times New Roman"/>
        </w:rPr>
        <w:t>NaN</w:t>
      </w:r>
      <w:proofErr w:type="spellEnd"/>
      <w:r>
        <w:rPr>
          <w:rFonts w:ascii="Times New Roman" w:hAnsi="Times New Roman" w:cs="Times New Roman"/>
        </w:rPr>
        <w:t>) values or negative values. We replaced the missing values by using the interpolate function in Python.</w:t>
      </w:r>
    </w:p>
  </w:footnote>
  <w:footnote w:id="6">
    <w:p w:rsidR="00387A34" w:rsidRDefault="00387A34" w:rsidP="00C17F48">
      <w:pPr>
        <w:pStyle w:val="FootnoteText"/>
        <w:jc w:val="both"/>
      </w:pPr>
      <w:r>
        <w:rPr>
          <w:rStyle w:val="FootnoteReference"/>
        </w:rPr>
        <w:footnoteRef/>
      </w:r>
      <w:r>
        <w:t xml:space="preserve"> </w:t>
      </w:r>
      <w:r>
        <w:rPr>
          <w:rFonts w:ascii="Times New Roman" w:hAnsi="Times New Roman" w:cs="Times New Roman"/>
        </w:rPr>
        <w:t xml:space="preserve">Note that a parameter named </w:t>
      </w:r>
      <w:proofErr w:type="spellStart"/>
      <w:r>
        <w:rPr>
          <w:rFonts w:ascii="Times New Roman" w:hAnsi="Times New Roman" w:cs="Times New Roman"/>
        </w:rPr>
        <w:t>Not_sequenced</w:t>
      </w:r>
      <w:proofErr w:type="spellEnd"/>
      <w:r>
        <w:rPr>
          <w:rFonts w:ascii="Times New Roman" w:hAnsi="Times New Roman" w:cs="Times New Roman"/>
        </w:rPr>
        <w:t xml:space="preserve"> is applied to those days where no information regarding the proportion of various virus mutants in a country were available</w:t>
      </w:r>
    </w:p>
  </w:footnote>
  <w:footnote w:id="7">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The median of difference of 2 </w:t>
      </w:r>
      <m:oMath>
        <m:sSub>
          <m:sSubPr>
            <m:ctrlPr>
              <w:rPr>
                <w:rFonts w:ascii="Cambria Math" w:hAnsi="Cambria Math" w:cs="Times New Roman"/>
                <w:i/>
                <w:iCs/>
              </w:rPr>
            </m:ctrlPr>
          </m:sSubPr>
          <m:e>
            <m:r>
              <w:rPr>
                <w:rFonts w:ascii="Cambria Math" w:eastAsia="Cambria Math" w:hAnsi="Cambria Math" w:cs="Times New Roman"/>
              </w:rPr>
              <m:t>R</m:t>
            </m:r>
          </m:e>
          <m:sub>
            <m:r>
              <w:rPr>
                <w:rFonts w:ascii="Cambria Math" w:hAnsi="Cambria Math" w:cs="Times New Roman"/>
              </w:rPr>
              <m:t>i</m:t>
            </m:r>
          </m:sub>
        </m:sSub>
      </m:oMath>
      <w:r>
        <w:rPr>
          <w:rFonts w:ascii="Times New Roman" w:hAnsi="Times New Roman" w:cs="Times New Roman"/>
        </w:rPr>
        <w:t xml:space="preserve"> values laying in 2 subsequent bins is 0.027 while median value of </w:t>
      </w:r>
      <m:oMath>
        <m:sSub>
          <m:sSubPr>
            <m:ctrlPr>
              <w:rPr>
                <w:rFonts w:ascii="Cambria Math" w:hAnsi="Cambria Math" w:cs="Times New Roman"/>
                <w:i/>
                <w:iCs/>
              </w:rPr>
            </m:ctrlPr>
          </m:sSubPr>
          <m:e>
            <m:r>
              <w:rPr>
                <w:rFonts w:ascii="Cambria Math" w:eastAsia="Cambria Math" w:hAnsi="Cambria Math" w:cs="Times New Roman"/>
              </w:rPr>
              <m:t>R</m:t>
            </m:r>
          </m:e>
          <m:sub>
            <m:r>
              <w:rPr>
                <w:rFonts w:ascii="Cambria Math" w:hAnsi="Cambria Math" w:cs="Times New Roman"/>
              </w:rPr>
              <m:t>i</m:t>
            </m:r>
          </m:sub>
        </m:sSub>
      </m:oMath>
      <w:r>
        <w:rPr>
          <w:rFonts w:ascii="Times New Roman" w:hAnsi="Times New Roman" w:cs="Times New Roman"/>
          <w:iCs/>
        </w:rPr>
        <w:t xml:space="preserve"> </w:t>
      </w:r>
      <w:r>
        <w:rPr>
          <w:rFonts w:ascii="Times New Roman" w:hAnsi="Times New Roman" w:cs="Times New Roman"/>
        </w:rPr>
        <w:t>values is 1.175.</w:t>
      </w:r>
    </w:p>
  </w:footnote>
  <w:footnote w:id="8">
    <w:p w:rsidR="00387A34" w:rsidRDefault="00387A34" w:rsidP="00C17F48">
      <w:pPr>
        <w:pStyle w:val="FootnoteText"/>
        <w:jc w:val="both"/>
        <w:rPr>
          <w:rFonts w:ascii="Times New Roman" w:hAnsi="Times New Roman" w:cs="Times New Roman"/>
        </w:rPr>
      </w:pPr>
      <w:r>
        <w:rPr>
          <w:rStyle w:val="FootnoteReference"/>
        </w:rPr>
        <w:footnoteRef/>
      </w:r>
      <w:r>
        <w:t xml:space="preserve"> </w:t>
      </w:r>
      <w:r>
        <w:rPr>
          <w:rFonts w:ascii="Times New Roman" w:hAnsi="Times New Roman" w:cs="Times New Roman"/>
        </w:rPr>
        <w:t xml:space="preserve">A detailed explanation of NPIs is presented in Lorenzo et. al. (2022). A variable dictionary related to the data on non-pharmaceutical interventions NPIs can be downloaded from the </w:t>
      </w:r>
      <w:hyperlink r:id="rId1" w:tooltip="https://www.ecdc.europa.eu/sites/default/files/documents/Variable_Dictionary_and_Disclaimer_non-pharmacautical_measures_v3.pdf" w:history="1">
        <w:proofErr w:type="spellStart"/>
        <w:r>
          <w:rPr>
            <w:rStyle w:val="Hyperlink"/>
            <w:rFonts w:ascii="Times New Roman" w:hAnsi="Times New Roman" w:cs="Times New Roman"/>
          </w:rPr>
          <w:t>ecdc</w:t>
        </w:r>
        <w:proofErr w:type="spellEnd"/>
      </w:hyperlink>
      <w:r>
        <w:rPr>
          <w:rFonts w:ascii="Times New Roman" w:hAnsi="Times New Roman" w:cs="Times New Roman"/>
        </w:rPr>
        <w:t xml:space="preserve"> website.</w:t>
      </w:r>
    </w:p>
    <w:p w:rsidR="00387A34" w:rsidRDefault="00387A34" w:rsidP="00C17F48">
      <w:pPr>
        <w:pStyle w:val="FootnoteText"/>
        <w:jc w:val="both"/>
      </w:pPr>
    </w:p>
  </w:footnote>
  <w:footnote w:id="9">
    <w:p w:rsidR="00387A34" w:rsidRDefault="00387A34" w:rsidP="003C4D7D">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Due to relative heavy amount of the memory needed to be available to the training </w:t>
      </w:r>
      <w:proofErr w:type="spellStart"/>
      <w:r>
        <w:rPr>
          <w:rFonts w:ascii="Times New Roman" w:hAnsi="Times New Roman" w:cs="Times New Roman"/>
        </w:rPr>
        <w:t>TensorFlow</w:t>
      </w:r>
      <w:proofErr w:type="spellEnd"/>
      <w:r>
        <w:rPr>
          <w:rFonts w:ascii="Times New Roman" w:hAnsi="Times New Roman" w:cs="Times New Roman"/>
        </w:rPr>
        <w:t xml:space="preserve"> process, we run the model training on</w:t>
      </w:r>
      <w:r w:rsidR="00331555">
        <w:rPr>
          <w:rFonts w:ascii="Times New Roman" w:hAnsi="Times New Roman" w:cs="Times New Roman"/>
        </w:rPr>
        <w:t xml:space="preserve"> a virtual machine on </w:t>
      </w:r>
      <w:proofErr w:type="gramStart"/>
      <w:r w:rsidR="00331555">
        <w:rPr>
          <w:rFonts w:ascii="Times New Roman" w:hAnsi="Times New Roman" w:cs="Times New Roman"/>
        </w:rPr>
        <w:t xml:space="preserve">the </w:t>
      </w:r>
      <w:r>
        <w:rPr>
          <w:rFonts w:ascii="Times New Roman" w:hAnsi="Times New Roman" w:cs="Times New Roman"/>
        </w:rPr>
        <w:t xml:space="preserve"> Linux</w:t>
      </w:r>
      <w:proofErr w:type="gramEnd"/>
      <w:r>
        <w:rPr>
          <w:rFonts w:ascii="Times New Roman" w:hAnsi="Times New Roman" w:cs="Times New Roman"/>
        </w:rPr>
        <w:t xml:space="preserve"> server at the university of</w:t>
      </w:r>
      <w:r w:rsidR="003C4D7D">
        <w:rPr>
          <w:rFonts w:ascii="Times New Roman" w:hAnsi="Times New Roman" w:cs="Times New Roman"/>
        </w:rPr>
        <w:t xml:space="preserve"> </w:t>
      </w:r>
      <w:r>
        <w:rPr>
          <w:rFonts w:ascii="Times New Roman" w:hAnsi="Times New Roman" w:cs="Times New Roman"/>
        </w:rPr>
        <w:t>.</w:t>
      </w:r>
    </w:p>
  </w:footnote>
  <w:footnote w:id="10">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hAnsi="Times New Roman" w:cs="Times New Roman"/>
          <w:color w:val="000000"/>
        </w:rPr>
        <w:t>A glossary for definition of abbreviated NPIs is provided by the European center for disease prevention and control and is added to the supplementary material of this paper.</w:t>
      </w:r>
    </w:p>
  </w:footnote>
  <w:footnote w:id="11">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This is more alike to computing the values of the </w:t>
      </w:r>
      <w:r>
        <w:rPr>
          <w:rFonts w:ascii="Times New Roman" w:hAnsi="Times New Roman" w:cs="Times New Roman"/>
          <w:i/>
          <w:iCs/>
        </w:rPr>
        <w:t>lower</w:t>
      </w:r>
      <w:r>
        <w:rPr>
          <w:rFonts w:ascii="Times New Roman" w:hAnsi="Times New Roman" w:cs="Times New Roman"/>
        </w:rPr>
        <w:t xml:space="preserve"> panel in figure 2.</w:t>
      </w:r>
    </w:p>
  </w:footnote>
  <w:footnote w:id="12">
    <w:p w:rsidR="00387A34" w:rsidRDefault="00387A34" w:rsidP="00C17F48">
      <w:pPr>
        <w:pStyle w:val="FootnoteText"/>
        <w:jc w:val="both"/>
        <w:rPr>
          <w:rFonts w:ascii="Times New Roman" w:hAnsi="Times New Roman" w:cs="Times New Roman"/>
        </w:rPr>
      </w:pPr>
      <w:r>
        <w:rPr>
          <w:rStyle w:val="FootnoteReference"/>
          <w:rFonts w:ascii="Times New Roman" w:hAnsi="Times New Roman" w:cs="Times New Roman"/>
        </w:rPr>
        <w:footnoteRef/>
      </w:r>
      <w:r>
        <w:rPr>
          <w:rFonts w:ascii="Times New Roman" w:hAnsi="Times New Roman" w:cs="Times New Roman"/>
        </w:rPr>
        <w:t xml:space="preserve"> Note that there exists in addition a row named ‘Others’ which indicates the potential harmful effect of other not labeled virus variants in the data set if they could prevail the pandemic scene, which might have gone beyond the destructive role of the delta variant.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019EB"/>
    <w:multiLevelType w:val="hybridMultilevel"/>
    <w:tmpl w:val="FE3287C8"/>
    <w:lvl w:ilvl="0" w:tplc="83EA273A">
      <w:start w:val="1"/>
      <w:numFmt w:val="decimal"/>
      <w:lvlText w:val="%1."/>
      <w:lvlJc w:val="left"/>
    </w:lvl>
    <w:lvl w:ilvl="1" w:tplc="511C33C6">
      <w:start w:val="1"/>
      <w:numFmt w:val="lowerLetter"/>
      <w:lvlText w:val="%2."/>
      <w:lvlJc w:val="left"/>
      <w:pPr>
        <w:ind w:left="1440" w:hanging="360"/>
      </w:pPr>
    </w:lvl>
    <w:lvl w:ilvl="2" w:tplc="987EB220">
      <w:start w:val="1"/>
      <w:numFmt w:val="lowerRoman"/>
      <w:lvlText w:val="%3."/>
      <w:lvlJc w:val="right"/>
      <w:pPr>
        <w:ind w:left="2160" w:hanging="180"/>
      </w:pPr>
    </w:lvl>
    <w:lvl w:ilvl="3" w:tplc="1D5840C2">
      <w:start w:val="1"/>
      <w:numFmt w:val="decimal"/>
      <w:lvlText w:val="%4."/>
      <w:lvlJc w:val="left"/>
      <w:pPr>
        <w:ind w:left="2880" w:hanging="360"/>
      </w:pPr>
    </w:lvl>
    <w:lvl w:ilvl="4" w:tplc="CBBA1F1A">
      <w:start w:val="1"/>
      <w:numFmt w:val="lowerLetter"/>
      <w:lvlText w:val="%5."/>
      <w:lvlJc w:val="left"/>
      <w:pPr>
        <w:ind w:left="3600" w:hanging="360"/>
      </w:pPr>
    </w:lvl>
    <w:lvl w:ilvl="5" w:tplc="ABEE47A6">
      <w:start w:val="1"/>
      <w:numFmt w:val="lowerRoman"/>
      <w:lvlText w:val="%6."/>
      <w:lvlJc w:val="right"/>
      <w:pPr>
        <w:ind w:left="4320" w:hanging="180"/>
      </w:pPr>
    </w:lvl>
    <w:lvl w:ilvl="6" w:tplc="1B86607C">
      <w:start w:val="1"/>
      <w:numFmt w:val="decimal"/>
      <w:lvlText w:val="%7."/>
      <w:lvlJc w:val="left"/>
      <w:pPr>
        <w:ind w:left="5040" w:hanging="360"/>
      </w:pPr>
    </w:lvl>
    <w:lvl w:ilvl="7" w:tplc="EBD4A8C2">
      <w:start w:val="1"/>
      <w:numFmt w:val="lowerLetter"/>
      <w:lvlText w:val="%8."/>
      <w:lvlJc w:val="left"/>
      <w:pPr>
        <w:ind w:left="5760" w:hanging="360"/>
      </w:pPr>
    </w:lvl>
    <w:lvl w:ilvl="8" w:tplc="C9AC463C">
      <w:start w:val="1"/>
      <w:numFmt w:val="lowerRoman"/>
      <w:lvlText w:val="%9."/>
      <w:lvlJc w:val="right"/>
      <w:pPr>
        <w:ind w:left="6480" w:hanging="180"/>
      </w:pPr>
    </w:lvl>
  </w:abstractNum>
  <w:abstractNum w:abstractNumId="1" w15:restartNumberingAfterBreak="0">
    <w:nsid w:val="2412003A"/>
    <w:multiLevelType w:val="hybridMultilevel"/>
    <w:tmpl w:val="DE1EE5D2"/>
    <w:lvl w:ilvl="0" w:tplc="5748FC08">
      <w:start w:val="1"/>
      <w:numFmt w:val="bullet"/>
      <w:lvlText w:val=""/>
      <w:lvlJc w:val="left"/>
      <w:pPr>
        <w:tabs>
          <w:tab w:val="num" w:pos="720"/>
        </w:tabs>
        <w:ind w:left="720" w:hanging="360"/>
      </w:pPr>
      <w:rPr>
        <w:rFonts w:ascii="Symbol" w:hAnsi="Symbol" w:hint="default"/>
        <w:sz w:val="20"/>
      </w:rPr>
    </w:lvl>
    <w:lvl w:ilvl="1" w:tplc="59A8009C">
      <w:start w:val="1"/>
      <w:numFmt w:val="bullet"/>
      <w:lvlText w:val="o"/>
      <w:lvlJc w:val="left"/>
      <w:pPr>
        <w:tabs>
          <w:tab w:val="num" w:pos="1440"/>
        </w:tabs>
        <w:ind w:left="1440" w:hanging="360"/>
      </w:pPr>
      <w:rPr>
        <w:rFonts w:ascii="Courier New" w:hAnsi="Courier New" w:hint="default"/>
        <w:sz w:val="20"/>
      </w:rPr>
    </w:lvl>
    <w:lvl w:ilvl="2" w:tplc="9F3C5F88">
      <w:start w:val="1"/>
      <w:numFmt w:val="bullet"/>
      <w:lvlText w:val=""/>
      <w:lvlJc w:val="left"/>
      <w:pPr>
        <w:tabs>
          <w:tab w:val="num" w:pos="2160"/>
        </w:tabs>
        <w:ind w:left="2160" w:hanging="360"/>
      </w:pPr>
      <w:rPr>
        <w:rFonts w:ascii="Wingdings" w:hAnsi="Wingdings" w:hint="default"/>
        <w:sz w:val="20"/>
      </w:rPr>
    </w:lvl>
    <w:lvl w:ilvl="3" w:tplc="4AECC846">
      <w:start w:val="1"/>
      <w:numFmt w:val="bullet"/>
      <w:lvlText w:val=""/>
      <w:lvlJc w:val="left"/>
      <w:pPr>
        <w:tabs>
          <w:tab w:val="num" w:pos="2880"/>
        </w:tabs>
        <w:ind w:left="2880" w:hanging="360"/>
      </w:pPr>
      <w:rPr>
        <w:rFonts w:ascii="Wingdings" w:hAnsi="Wingdings" w:hint="default"/>
        <w:sz w:val="20"/>
      </w:rPr>
    </w:lvl>
    <w:lvl w:ilvl="4" w:tplc="B302F87A">
      <w:start w:val="1"/>
      <w:numFmt w:val="bullet"/>
      <w:lvlText w:val=""/>
      <w:lvlJc w:val="left"/>
      <w:pPr>
        <w:tabs>
          <w:tab w:val="num" w:pos="3600"/>
        </w:tabs>
        <w:ind w:left="3600" w:hanging="360"/>
      </w:pPr>
      <w:rPr>
        <w:rFonts w:ascii="Wingdings" w:hAnsi="Wingdings" w:hint="default"/>
        <w:sz w:val="20"/>
      </w:rPr>
    </w:lvl>
    <w:lvl w:ilvl="5" w:tplc="F88CB31C">
      <w:start w:val="1"/>
      <w:numFmt w:val="bullet"/>
      <w:lvlText w:val=""/>
      <w:lvlJc w:val="left"/>
      <w:pPr>
        <w:tabs>
          <w:tab w:val="num" w:pos="4320"/>
        </w:tabs>
        <w:ind w:left="4320" w:hanging="360"/>
      </w:pPr>
      <w:rPr>
        <w:rFonts w:ascii="Wingdings" w:hAnsi="Wingdings" w:hint="default"/>
        <w:sz w:val="20"/>
      </w:rPr>
    </w:lvl>
    <w:lvl w:ilvl="6" w:tplc="E9EA72CE">
      <w:start w:val="1"/>
      <w:numFmt w:val="bullet"/>
      <w:lvlText w:val=""/>
      <w:lvlJc w:val="left"/>
      <w:pPr>
        <w:tabs>
          <w:tab w:val="num" w:pos="5040"/>
        </w:tabs>
        <w:ind w:left="5040" w:hanging="360"/>
      </w:pPr>
      <w:rPr>
        <w:rFonts w:ascii="Wingdings" w:hAnsi="Wingdings" w:hint="default"/>
        <w:sz w:val="20"/>
      </w:rPr>
    </w:lvl>
    <w:lvl w:ilvl="7" w:tplc="EAF8CF5A">
      <w:start w:val="1"/>
      <w:numFmt w:val="bullet"/>
      <w:lvlText w:val=""/>
      <w:lvlJc w:val="left"/>
      <w:pPr>
        <w:tabs>
          <w:tab w:val="num" w:pos="5760"/>
        </w:tabs>
        <w:ind w:left="5760" w:hanging="360"/>
      </w:pPr>
      <w:rPr>
        <w:rFonts w:ascii="Wingdings" w:hAnsi="Wingdings" w:hint="default"/>
        <w:sz w:val="20"/>
      </w:rPr>
    </w:lvl>
    <w:lvl w:ilvl="8" w:tplc="39BA03BC">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681560E"/>
    <w:multiLevelType w:val="hybridMultilevel"/>
    <w:tmpl w:val="617419F6"/>
    <w:lvl w:ilvl="0" w:tplc="674C4582">
      <w:start w:val="1"/>
      <w:numFmt w:val="decimal"/>
      <w:lvlText w:val="%1."/>
      <w:lvlJc w:val="left"/>
      <w:pPr>
        <w:tabs>
          <w:tab w:val="num" w:pos="720"/>
        </w:tabs>
        <w:ind w:left="720" w:hanging="360"/>
      </w:pPr>
    </w:lvl>
    <w:lvl w:ilvl="1" w:tplc="01B0F584">
      <w:start w:val="1"/>
      <w:numFmt w:val="decimal"/>
      <w:lvlText w:val="%2."/>
      <w:lvlJc w:val="left"/>
      <w:pPr>
        <w:tabs>
          <w:tab w:val="num" w:pos="1440"/>
        </w:tabs>
        <w:ind w:left="1440" w:hanging="360"/>
      </w:pPr>
    </w:lvl>
    <w:lvl w:ilvl="2" w:tplc="7A929E5C">
      <w:start w:val="1"/>
      <w:numFmt w:val="decimal"/>
      <w:lvlText w:val="%3."/>
      <w:lvlJc w:val="left"/>
      <w:pPr>
        <w:tabs>
          <w:tab w:val="num" w:pos="2160"/>
        </w:tabs>
        <w:ind w:left="2160" w:hanging="360"/>
      </w:pPr>
    </w:lvl>
    <w:lvl w:ilvl="3" w:tplc="B9E4CE4C">
      <w:start w:val="1"/>
      <w:numFmt w:val="decimal"/>
      <w:lvlText w:val="%4."/>
      <w:lvlJc w:val="left"/>
      <w:pPr>
        <w:tabs>
          <w:tab w:val="num" w:pos="2880"/>
        </w:tabs>
        <w:ind w:left="2880" w:hanging="360"/>
      </w:pPr>
    </w:lvl>
    <w:lvl w:ilvl="4" w:tplc="DEAABA66">
      <w:start w:val="1"/>
      <w:numFmt w:val="decimal"/>
      <w:lvlText w:val="%5."/>
      <w:lvlJc w:val="left"/>
      <w:pPr>
        <w:tabs>
          <w:tab w:val="num" w:pos="3600"/>
        </w:tabs>
        <w:ind w:left="3600" w:hanging="360"/>
      </w:pPr>
    </w:lvl>
    <w:lvl w:ilvl="5" w:tplc="8F040B4A">
      <w:start w:val="1"/>
      <w:numFmt w:val="decimal"/>
      <w:lvlText w:val="%6."/>
      <w:lvlJc w:val="left"/>
      <w:pPr>
        <w:tabs>
          <w:tab w:val="num" w:pos="4320"/>
        </w:tabs>
        <w:ind w:left="4320" w:hanging="360"/>
      </w:pPr>
    </w:lvl>
    <w:lvl w:ilvl="6" w:tplc="81143ACC">
      <w:start w:val="1"/>
      <w:numFmt w:val="decimal"/>
      <w:lvlText w:val="%7."/>
      <w:lvlJc w:val="left"/>
      <w:pPr>
        <w:tabs>
          <w:tab w:val="num" w:pos="5040"/>
        </w:tabs>
        <w:ind w:left="5040" w:hanging="360"/>
      </w:pPr>
    </w:lvl>
    <w:lvl w:ilvl="7" w:tplc="2DC41AFC">
      <w:start w:val="1"/>
      <w:numFmt w:val="decimal"/>
      <w:lvlText w:val="%8."/>
      <w:lvlJc w:val="left"/>
      <w:pPr>
        <w:tabs>
          <w:tab w:val="num" w:pos="5760"/>
        </w:tabs>
        <w:ind w:left="5760" w:hanging="360"/>
      </w:pPr>
    </w:lvl>
    <w:lvl w:ilvl="8" w:tplc="BF189CB6">
      <w:start w:val="1"/>
      <w:numFmt w:val="decimal"/>
      <w:lvlText w:val="%9."/>
      <w:lvlJc w:val="left"/>
      <w:pPr>
        <w:tabs>
          <w:tab w:val="num" w:pos="6480"/>
        </w:tabs>
        <w:ind w:left="6480" w:hanging="360"/>
      </w:pPr>
    </w:lvl>
  </w:abstractNum>
  <w:abstractNum w:abstractNumId="3" w15:restartNumberingAfterBreak="0">
    <w:nsid w:val="27E24B74"/>
    <w:multiLevelType w:val="hybridMultilevel"/>
    <w:tmpl w:val="E0FEF4AC"/>
    <w:lvl w:ilvl="0" w:tplc="0BECE158">
      <w:start w:val="1"/>
      <w:numFmt w:val="bullet"/>
      <w:lvlText w:val=""/>
      <w:lvlJc w:val="left"/>
      <w:pPr>
        <w:tabs>
          <w:tab w:val="num" w:pos="720"/>
        </w:tabs>
        <w:ind w:left="720" w:hanging="360"/>
      </w:pPr>
      <w:rPr>
        <w:rFonts w:ascii="Symbol" w:hAnsi="Symbol" w:hint="default"/>
        <w:sz w:val="20"/>
      </w:rPr>
    </w:lvl>
    <w:lvl w:ilvl="1" w:tplc="A17214B2">
      <w:start w:val="1"/>
      <w:numFmt w:val="bullet"/>
      <w:lvlText w:val="o"/>
      <w:lvlJc w:val="left"/>
      <w:pPr>
        <w:tabs>
          <w:tab w:val="num" w:pos="1440"/>
        </w:tabs>
        <w:ind w:left="1440" w:hanging="360"/>
      </w:pPr>
      <w:rPr>
        <w:rFonts w:ascii="Courier New" w:hAnsi="Courier New" w:hint="default"/>
        <w:sz w:val="20"/>
      </w:rPr>
    </w:lvl>
    <w:lvl w:ilvl="2" w:tplc="52CA8DC2">
      <w:start w:val="1"/>
      <w:numFmt w:val="bullet"/>
      <w:lvlText w:val=""/>
      <w:lvlJc w:val="left"/>
      <w:pPr>
        <w:tabs>
          <w:tab w:val="num" w:pos="2160"/>
        </w:tabs>
        <w:ind w:left="2160" w:hanging="360"/>
      </w:pPr>
      <w:rPr>
        <w:rFonts w:ascii="Wingdings" w:hAnsi="Wingdings" w:hint="default"/>
        <w:sz w:val="20"/>
      </w:rPr>
    </w:lvl>
    <w:lvl w:ilvl="3" w:tplc="D8224B66">
      <w:start w:val="1"/>
      <w:numFmt w:val="bullet"/>
      <w:lvlText w:val=""/>
      <w:lvlJc w:val="left"/>
      <w:pPr>
        <w:tabs>
          <w:tab w:val="num" w:pos="2880"/>
        </w:tabs>
        <w:ind w:left="2880" w:hanging="360"/>
      </w:pPr>
      <w:rPr>
        <w:rFonts w:ascii="Wingdings" w:hAnsi="Wingdings" w:hint="default"/>
        <w:sz w:val="20"/>
      </w:rPr>
    </w:lvl>
    <w:lvl w:ilvl="4" w:tplc="19D672F8">
      <w:start w:val="1"/>
      <w:numFmt w:val="bullet"/>
      <w:lvlText w:val=""/>
      <w:lvlJc w:val="left"/>
      <w:pPr>
        <w:tabs>
          <w:tab w:val="num" w:pos="3600"/>
        </w:tabs>
        <w:ind w:left="3600" w:hanging="360"/>
      </w:pPr>
      <w:rPr>
        <w:rFonts w:ascii="Wingdings" w:hAnsi="Wingdings" w:hint="default"/>
        <w:sz w:val="20"/>
      </w:rPr>
    </w:lvl>
    <w:lvl w:ilvl="5" w:tplc="1B841150">
      <w:start w:val="1"/>
      <w:numFmt w:val="bullet"/>
      <w:lvlText w:val=""/>
      <w:lvlJc w:val="left"/>
      <w:pPr>
        <w:tabs>
          <w:tab w:val="num" w:pos="4320"/>
        </w:tabs>
        <w:ind w:left="4320" w:hanging="360"/>
      </w:pPr>
      <w:rPr>
        <w:rFonts w:ascii="Wingdings" w:hAnsi="Wingdings" w:hint="default"/>
        <w:sz w:val="20"/>
      </w:rPr>
    </w:lvl>
    <w:lvl w:ilvl="6" w:tplc="8214A55C">
      <w:start w:val="1"/>
      <w:numFmt w:val="bullet"/>
      <w:lvlText w:val=""/>
      <w:lvlJc w:val="left"/>
      <w:pPr>
        <w:tabs>
          <w:tab w:val="num" w:pos="5040"/>
        </w:tabs>
        <w:ind w:left="5040" w:hanging="360"/>
      </w:pPr>
      <w:rPr>
        <w:rFonts w:ascii="Wingdings" w:hAnsi="Wingdings" w:hint="default"/>
        <w:sz w:val="20"/>
      </w:rPr>
    </w:lvl>
    <w:lvl w:ilvl="7" w:tplc="31EECD3A">
      <w:start w:val="1"/>
      <w:numFmt w:val="bullet"/>
      <w:lvlText w:val=""/>
      <w:lvlJc w:val="left"/>
      <w:pPr>
        <w:tabs>
          <w:tab w:val="num" w:pos="5760"/>
        </w:tabs>
        <w:ind w:left="5760" w:hanging="360"/>
      </w:pPr>
      <w:rPr>
        <w:rFonts w:ascii="Wingdings" w:hAnsi="Wingdings" w:hint="default"/>
        <w:sz w:val="20"/>
      </w:rPr>
    </w:lvl>
    <w:lvl w:ilvl="8" w:tplc="DC44D812">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28F54F0"/>
    <w:multiLevelType w:val="hybridMultilevel"/>
    <w:tmpl w:val="89B086AA"/>
    <w:lvl w:ilvl="0" w:tplc="A3628394">
      <w:start w:val="1"/>
      <w:numFmt w:val="decimal"/>
      <w:lvlText w:val="%1."/>
      <w:lvlJc w:val="left"/>
      <w:pPr>
        <w:ind w:left="720" w:hanging="360"/>
      </w:pPr>
      <w:rPr>
        <w:rFonts w:hint="default"/>
      </w:rPr>
    </w:lvl>
    <w:lvl w:ilvl="1" w:tplc="246481AE">
      <w:start w:val="1"/>
      <w:numFmt w:val="lowerLetter"/>
      <w:lvlText w:val="%2."/>
      <w:lvlJc w:val="left"/>
      <w:pPr>
        <w:ind w:left="1440" w:hanging="360"/>
      </w:pPr>
    </w:lvl>
    <w:lvl w:ilvl="2" w:tplc="856C1822">
      <w:start w:val="1"/>
      <w:numFmt w:val="lowerRoman"/>
      <w:lvlText w:val="%3."/>
      <w:lvlJc w:val="right"/>
      <w:pPr>
        <w:ind w:left="2160" w:hanging="180"/>
      </w:pPr>
    </w:lvl>
    <w:lvl w:ilvl="3" w:tplc="2E6ADE4C">
      <w:start w:val="1"/>
      <w:numFmt w:val="decimal"/>
      <w:lvlText w:val="%4."/>
      <w:lvlJc w:val="left"/>
      <w:pPr>
        <w:ind w:left="2880" w:hanging="360"/>
      </w:pPr>
    </w:lvl>
    <w:lvl w:ilvl="4" w:tplc="8632D3B2">
      <w:start w:val="1"/>
      <w:numFmt w:val="lowerLetter"/>
      <w:lvlText w:val="%5."/>
      <w:lvlJc w:val="left"/>
      <w:pPr>
        <w:ind w:left="3600" w:hanging="360"/>
      </w:pPr>
    </w:lvl>
    <w:lvl w:ilvl="5" w:tplc="D6F8766C">
      <w:start w:val="1"/>
      <w:numFmt w:val="lowerRoman"/>
      <w:lvlText w:val="%6."/>
      <w:lvlJc w:val="right"/>
      <w:pPr>
        <w:ind w:left="4320" w:hanging="180"/>
      </w:pPr>
    </w:lvl>
    <w:lvl w:ilvl="6" w:tplc="8D8CB8DE">
      <w:start w:val="1"/>
      <w:numFmt w:val="decimal"/>
      <w:lvlText w:val="%7."/>
      <w:lvlJc w:val="left"/>
      <w:pPr>
        <w:ind w:left="5040" w:hanging="360"/>
      </w:pPr>
    </w:lvl>
    <w:lvl w:ilvl="7" w:tplc="9496E424">
      <w:start w:val="1"/>
      <w:numFmt w:val="lowerLetter"/>
      <w:lvlText w:val="%8."/>
      <w:lvlJc w:val="left"/>
      <w:pPr>
        <w:ind w:left="5760" w:hanging="360"/>
      </w:pPr>
    </w:lvl>
    <w:lvl w:ilvl="8" w:tplc="C6B49128">
      <w:start w:val="1"/>
      <w:numFmt w:val="lowerRoman"/>
      <w:lvlText w:val="%9."/>
      <w:lvlJc w:val="right"/>
      <w:pPr>
        <w:ind w:left="6480" w:hanging="180"/>
      </w:pPr>
    </w:lvl>
  </w:abstractNum>
  <w:abstractNum w:abstractNumId="5" w15:restartNumberingAfterBreak="0">
    <w:nsid w:val="4E666AE2"/>
    <w:multiLevelType w:val="hybridMultilevel"/>
    <w:tmpl w:val="51188AFA"/>
    <w:lvl w:ilvl="0" w:tplc="020830B4">
      <w:start w:val="1"/>
      <w:numFmt w:val="bullet"/>
      <w:lvlText w:val=""/>
      <w:lvlJc w:val="left"/>
      <w:pPr>
        <w:ind w:left="360" w:hanging="360"/>
      </w:pPr>
      <w:rPr>
        <w:rFonts w:ascii="Wingdings" w:hAnsi="Wingdings" w:hint="default"/>
      </w:rPr>
    </w:lvl>
    <w:lvl w:ilvl="1" w:tplc="E9C6FBCA">
      <w:start w:val="1"/>
      <w:numFmt w:val="decimal"/>
      <w:lvlText w:val="%2."/>
      <w:lvlJc w:val="left"/>
      <w:pPr>
        <w:ind w:left="720" w:hanging="360"/>
      </w:pPr>
      <w:rPr>
        <w:rFonts w:hint="default"/>
      </w:rPr>
    </w:lvl>
    <w:lvl w:ilvl="2" w:tplc="0226EB10">
      <w:start w:val="1"/>
      <w:numFmt w:val="bullet"/>
      <w:lvlText w:val=""/>
      <w:lvlJc w:val="left"/>
      <w:pPr>
        <w:ind w:left="1080" w:hanging="360"/>
      </w:pPr>
      <w:rPr>
        <w:rFonts w:ascii="Wingdings" w:hAnsi="Wingdings" w:hint="default"/>
      </w:rPr>
    </w:lvl>
    <w:lvl w:ilvl="3" w:tplc="73A88462">
      <w:start w:val="1"/>
      <w:numFmt w:val="bullet"/>
      <w:lvlText w:val=""/>
      <w:lvlJc w:val="left"/>
      <w:pPr>
        <w:ind w:left="1440" w:hanging="360"/>
      </w:pPr>
      <w:rPr>
        <w:rFonts w:ascii="Symbol" w:hAnsi="Symbol" w:hint="default"/>
      </w:rPr>
    </w:lvl>
    <w:lvl w:ilvl="4" w:tplc="4C6634D8">
      <w:start w:val="1"/>
      <w:numFmt w:val="bullet"/>
      <w:lvlText w:val=""/>
      <w:lvlJc w:val="left"/>
      <w:pPr>
        <w:ind w:left="1800" w:hanging="360"/>
      </w:pPr>
      <w:rPr>
        <w:rFonts w:ascii="Symbol" w:hAnsi="Symbol" w:hint="default"/>
      </w:rPr>
    </w:lvl>
    <w:lvl w:ilvl="5" w:tplc="9154B1DE">
      <w:start w:val="1"/>
      <w:numFmt w:val="bullet"/>
      <w:lvlText w:val=""/>
      <w:lvlJc w:val="left"/>
      <w:pPr>
        <w:ind w:left="2160" w:hanging="360"/>
      </w:pPr>
      <w:rPr>
        <w:rFonts w:ascii="Wingdings" w:hAnsi="Wingdings" w:hint="default"/>
      </w:rPr>
    </w:lvl>
    <w:lvl w:ilvl="6" w:tplc="17CAE1AE">
      <w:start w:val="1"/>
      <w:numFmt w:val="bullet"/>
      <w:lvlText w:val=""/>
      <w:lvlJc w:val="left"/>
      <w:pPr>
        <w:ind w:left="2520" w:hanging="360"/>
      </w:pPr>
      <w:rPr>
        <w:rFonts w:ascii="Wingdings" w:hAnsi="Wingdings" w:hint="default"/>
      </w:rPr>
    </w:lvl>
    <w:lvl w:ilvl="7" w:tplc="85F69590">
      <w:start w:val="1"/>
      <w:numFmt w:val="bullet"/>
      <w:lvlText w:val=""/>
      <w:lvlJc w:val="left"/>
      <w:pPr>
        <w:ind w:left="2880" w:hanging="360"/>
      </w:pPr>
      <w:rPr>
        <w:rFonts w:ascii="Symbol" w:hAnsi="Symbol" w:hint="default"/>
      </w:rPr>
    </w:lvl>
    <w:lvl w:ilvl="8" w:tplc="52AAD0F8">
      <w:start w:val="1"/>
      <w:numFmt w:val="bullet"/>
      <w:lvlText w:val=""/>
      <w:lvlJc w:val="left"/>
      <w:pPr>
        <w:ind w:left="3240" w:hanging="360"/>
      </w:pPr>
      <w:rPr>
        <w:rFonts w:ascii="Symbol" w:hAnsi="Symbol" w:hint="default"/>
      </w:rPr>
    </w:lvl>
  </w:abstractNum>
  <w:abstractNum w:abstractNumId="6" w15:restartNumberingAfterBreak="0">
    <w:nsid w:val="51916F06"/>
    <w:multiLevelType w:val="hybridMultilevel"/>
    <w:tmpl w:val="F7E6C1F2"/>
    <w:lvl w:ilvl="0" w:tplc="DEAC0A34">
      <w:start w:val="1"/>
      <w:numFmt w:val="decimal"/>
      <w:lvlText w:val="%1."/>
      <w:lvlJc w:val="left"/>
    </w:lvl>
    <w:lvl w:ilvl="1" w:tplc="D8E8DDB6">
      <w:start w:val="1"/>
      <w:numFmt w:val="lowerLetter"/>
      <w:lvlText w:val="%2."/>
      <w:lvlJc w:val="left"/>
      <w:pPr>
        <w:ind w:left="1440" w:hanging="360"/>
      </w:pPr>
    </w:lvl>
    <w:lvl w:ilvl="2" w:tplc="19F8A3DA">
      <w:start w:val="1"/>
      <w:numFmt w:val="lowerRoman"/>
      <w:lvlText w:val="%3."/>
      <w:lvlJc w:val="right"/>
      <w:pPr>
        <w:ind w:left="2160" w:hanging="180"/>
      </w:pPr>
    </w:lvl>
    <w:lvl w:ilvl="3" w:tplc="88C8051A">
      <w:start w:val="1"/>
      <w:numFmt w:val="decimal"/>
      <w:lvlText w:val="%4."/>
      <w:lvlJc w:val="left"/>
      <w:pPr>
        <w:ind w:left="2880" w:hanging="360"/>
      </w:pPr>
    </w:lvl>
    <w:lvl w:ilvl="4" w:tplc="2FAC543E">
      <w:start w:val="1"/>
      <w:numFmt w:val="lowerLetter"/>
      <w:lvlText w:val="%5."/>
      <w:lvlJc w:val="left"/>
      <w:pPr>
        <w:ind w:left="3600" w:hanging="360"/>
      </w:pPr>
    </w:lvl>
    <w:lvl w:ilvl="5" w:tplc="39AE4824">
      <w:start w:val="1"/>
      <w:numFmt w:val="lowerRoman"/>
      <w:lvlText w:val="%6."/>
      <w:lvlJc w:val="right"/>
      <w:pPr>
        <w:ind w:left="4320" w:hanging="180"/>
      </w:pPr>
    </w:lvl>
    <w:lvl w:ilvl="6" w:tplc="E710FBE4">
      <w:start w:val="1"/>
      <w:numFmt w:val="decimal"/>
      <w:lvlText w:val="%7."/>
      <w:lvlJc w:val="left"/>
      <w:pPr>
        <w:ind w:left="5040" w:hanging="360"/>
      </w:pPr>
    </w:lvl>
    <w:lvl w:ilvl="7" w:tplc="DB7A90AE">
      <w:start w:val="1"/>
      <w:numFmt w:val="lowerLetter"/>
      <w:lvlText w:val="%8."/>
      <w:lvlJc w:val="left"/>
      <w:pPr>
        <w:ind w:left="5760" w:hanging="360"/>
      </w:pPr>
    </w:lvl>
    <w:lvl w:ilvl="8" w:tplc="FBF0CB4E">
      <w:start w:val="1"/>
      <w:numFmt w:val="lowerRoman"/>
      <w:lvlText w:val="%9."/>
      <w:lvlJc w:val="right"/>
      <w:pPr>
        <w:ind w:left="6480" w:hanging="180"/>
      </w:pPr>
    </w:lvl>
  </w:abstractNum>
  <w:abstractNum w:abstractNumId="7" w15:restartNumberingAfterBreak="0">
    <w:nsid w:val="6639650D"/>
    <w:multiLevelType w:val="hybridMultilevel"/>
    <w:tmpl w:val="E7DED016"/>
    <w:lvl w:ilvl="0" w:tplc="73F04BBA">
      <w:start w:val="1"/>
      <w:numFmt w:val="decimal"/>
      <w:lvlText w:val="%1."/>
      <w:lvlJc w:val="left"/>
    </w:lvl>
    <w:lvl w:ilvl="1" w:tplc="A3BA8F66">
      <w:start w:val="1"/>
      <w:numFmt w:val="lowerLetter"/>
      <w:lvlText w:val="%2."/>
      <w:lvlJc w:val="left"/>
      <w:pPr>
        <w:ind w:left="1440" w:hanging="360"/>
      </w:pPr>
    </w:lvl>
    <w:lvl w:ilvl="2" w:tplc="D3363448">
      <w:start w:val="1"/>
      <w:numFmt w:val="lowerRoman"/>
      <w:lvlText w:val="%3."/>
      <w:lvlJc w:val="right"/>
      <w:pPr>
        <w:ind w:left="2160" w:hanging="180"/>
      </w:pPr>
    </w:lvl>
    <w:lvl w:ilvl="3" w:tplc="026C27E2">
      <w:start w:val="1"/>
      <w:numFmt w:val="decimal"/>
      <w:lvlText w:val="%4."/>
      <w:lvlJc w:val="left"/>
      <w:pPr>
        <w:ind w:left="2880" w:hanging="360"/>
      </w:pPr>
    </w:lvl>
    <w:lvl w:ilvl="4" w:tplc="5A42EA04">
      <w:start w:val="1"/>
      <w:numFmt w:val="lowerLetter"/>
      <w:lvlText w:val="%5."/>
      <w:lvlJc w:val="left"/>
      <w:pPr>
        <w:ind w:left="3600" w:hanging="360"/>
      </w:pPr>
    </w:lvl>
    <w:lvl w:ilvl="5" w:tplc="4D4239B4">
      <w:start w:val="1"/>
      <w:numFmt w:val="lowerRoman"/>
      <w:lvlText w:val="%6."/>
      <w:lvlJc w:val="right"/>
      <w:pPr>
        <w:ind w:left="4320" w:hanging="180"/>
      </w:pPr>
    </w:lvl>
    <w:lvl w:ilvl="6" w:tplc="294E17B2">
      <w:start w:val="1"/>
      <w:numFmt w:val="decimal"/>
      <w:lvlText w:val="%7."/>
      <w:lvlJc w:val="left"/>
      <w:pPr>
        <w:ind w:left="5040" w:hanging="360"/>
      </w:pPr>
    </w:lvl>
    <w:lvl w:ilvl="7" w:tplc="4D8A1BF6">
      <w:start w:val="1"/>
      <w:numFmt w:val="lowerLetter"/>
      <w:lvlText w:val="%8."/>
      <w:lvlJc w:val="left"/>
      <w:pPr>
        <w:ind w:left="5760" w:hanging="360"/>
      </w:pPr>
    </w:lvl>
    <w:lvl w:ilvl="8" w:tplc="326CB95C">
      <w:start w:val="1"/>
      <w:numFmt w:val="lowerRoman"/>
      <w:lvlText w:val="%9."/>
      <w:lvlJc w:val="right"/>
      <w:pPr>
        <w:ind w:left="6480" w:hanging="180"/>
      </w:pPr>
    </w:lvl>
  </w:abstractNum>
  <w:abstractNum w:abstractNumId="8" w15:restartNumberingAfterBreak="0">
    <w:nsid w:val="7CB75E3F"/>
    <w:multiLevelType w:val="hybridMultilevel"/>
    <w:tmpl w:val="ACBC3D40"/>
    <w:lvl w:ilvl="0" w:tplc="10F4D66E">
      <w:start w:val="1"/>
      <w:numFmt w:val="decimal"/>
      <w:lvlText w:val="%1."/>
      <w:lvlJc w:val="left"/>
    </w:lvl>
    <w:lvl w:ilvl="1" w:tplc="DCB006CA">
      <w:start w:val="1"/>
      <w:numFmt w:val="lowerLetter"/>
      <w:lvlText w:val="%2."/>
      <w:lvlJc w:val="left"/>
      <w:pPr>
        <w:ind w:left="1440" w:hanging="360"/>
      </w:pPr>
    </w:lvl>
    <w:lvl w:ilvl="2" w:tplc="C73E31C0">
      <w:start w:val="1"/>
      <w:numFmt w:val="lowerRoman"/>
      <w:lvlText w:val="%3."/>
      <w:lvlJc w:val="right"/>
      <w:pPr>
        <w:ind w:left="2160" w:hanging="180"/>
      </w:pPr>
    </w:lvl>
    <w:lvl w:ilvl="3" w:tplc="1584B640">
      <w:start w:val="1"/>
      <w:numFmt w:val="decimal"/>
      <w:lvlText w:val="%4."/>
      <w:lvlJc w:val="left"/>
      <w:pPr>
        <w:ind w:left="2880" w:hanging="360"/>
      </w:pPr>
    </w:lvl>
    <w:lvl w:ilvl="4" w:tplc="69DA3916">
      <w:start w:val="1"/>
      <w:numFmt w:val="lowerLetter"/>
      <w:lvlText w:val="%5."/>
      <w:lvlJc w:val="left"/>
      <w:pPr>
        <w:ind w:left="3600" w:hanging="360"/>
      </w:pPr>
    </w:lvl>
    <w:lvl w:ilvl="5" w:tplc="69461E9C">
      <w:start w:val="1"/>
      <w:numFmt w:val="lowerRoman"/>
      <w:lvlText w:val="%6."/>
      <w:lvlJc w:val="right"/>
      <w:pPr>
        <w:ind w:left="4320" w:hanging="180"/>
      </w:pPr>
    </w:lvl>
    <w:lvl w:ilvl="6" w:tplc="8D881812">
      <w:start w:val="1"/>
      <w:numFmt w:val="decimal"/>
      <w:lvlText w:val="%7."/>
      <w:lvlJc w:val="left"/>
      <w:pPr>
        <w:ind w:left="5040" w:hanging="360"/>
      </w:pPr>
    </w:lvl>
    <w:lvl w:ilvl="7" w:tplc="D9A2DF00">
      <w:start w:val="1"/>
      <w:numFmt w:val="lowerLetter"/>
      <w:lvlText w:val="%8."/>
      <w:lvlJc w:val="left"/>
      <w:pPr>
        <w:ind w:left="5760" w:hanging="360"/>
      </w:pPr>
    </w:lvl>
    <w:lvl w:ilvl="8" w:tplc="89F628FA">
      <w:start w:val="1"/>
      <w:numFmt w:val="lowerRoman"/>
      <w:lvlText w:val="%9."/>
      <w:lvlJc w:val="right"/>
      <w:pPr>
        <w:ind w:left="6480" w:hanging="180"/>
      </w:pPr>
    </w:lvl>
  </w:abstractNum>
  <w:abstractNum w:abstractNumId="9" w15:restartNumberingAfterBreak="0">
    <w:nsid w:val="7ED92D35"/>
    <w:multiLevelType w:val="multilevel"/>
    <w:tmpl w:val="BAF043F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7"/>
  </w:num>
  <w:num w:numId="2">
    <w:abstractNumId w:val="0"/>
  </w:num>
  <w:num w:numId="3">
    <w:abstractNumId w:val="6"/>
  </w:num>
  <w:num w:numId="4">
    <w:abstractNumId w:val="8"/>
  </w:num>
  <w:num w:numId="5">
    <w:abstractNumId w:val="4"/>
  </w:num>
  <w:num w:numId="6">
    <w:abstractNumId w:val="2"/>
  </w:num>
  <w:num w:numId="7">
    <w:abstractNumId w:val="3"/>
  </w:num>
  <w:num w:numId="8">
    <w:abstractNumId w:val="1"/>
  </w:num>
  <w:num w:numId="9">
    <w:abstractNumId w:val="5"/>
  </w:num>
  <w:num w:numId="10">
    <w:abstractNumId w:val="9"/>
  </w:num>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lf Lotzmann">
    <w15:presenceInfo w15:providerId="None" w15:userId="Ulf Lotzman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6D6C"/>
    <w:rsid w:val="000019E8"/>
    <w:rsid w:val="000348D6"/>
    <w:rsid w:val="000522F6"/>
    <w:rsid w:val="000D0257"/>
    <w:rsid w:val="000E0BF0"/>
    <w:rsid w:val="000E3C90"/>
    <w:rsid w:val="000F01E0"/>
    <w:rsid w:val="000F2B24"/>
    <w:rsid w:val="000F6280"/>
    <w:rsid w:val="001205C6"/>
    <w:rsid w:val="00122ABC"/>
    <w:rsid w:val="001375C8"/>
    <w:rsid w:val="001412F3"/>
    <w:rsid w:val="00154FBE"/>
    <w:rsid w:val="00161CF9"/>
    <w:rsid w:val="00190BC8"/>
    <w:rsid w:val="001A56EE"/>
    <w:rsid w:val="001B31D8"/>
    <w:rsid w:val="001C148C"/>
    <w:rsid w:val="001D223B"/>
    <w:rsid w:val="001F1D00"/>
    <w:rsid w:val="002312EB"/>
    <w:rsid w:val="00233815"/>
    <w:rsid w:val="00276EA8"/>
    <w:rsid w:val="00285187"/>
    <w:rsid w:val="002D21EA"/>
    <w:rsid w:val="002D7DE5"/>
    <w:rsid w:val="00310D3D"/>
    <w:rsid w:val="00312D5F"/>
    <w:rsid w:val="003269A0"/>
    <w:rsid w:val="00331555"/>
    <w:rsid w:val="003354C6"/>
    <w:rsid w:val="00383F2D"/>
    <w:rsid w:val="0038675F"/>
    <w:rsid w:val="00387A34"/>
    <w:rsid w:val="003C4D7D"/>
    <w:rsid w:val="003D14C8"/>
    <w:rsid w:val="003D7DB8"/>
    <w:rsid w:val="003E646F"/>
    <w:rsid w:val="00413D81"/>
    <w:rsid w:val="00424862"/>
    <w:rsid w:val="004459B3"/>
    <w:rsid w:val="00452633"/>
    <w:rsid w:val="004722AB"/>
    <w:rsid w:val="00487E28"/>
    <w:rsid w:val="004D3DF0"/>
    <w:rsid w:val="00544C21"/>
    <w:rsid w:val="00550248"/>
    <w:rsid w:val="00570445"/>
    <w:rsid w:val="00586E53"/>
    <w:rsid w:val="005A3A3A"/>
    <w:rsid w:val="005D0C97"/>
    <w:rsid w:val="005D2F0D"/>
    <w:rsid w:val="00622441"/>
    <w:rsid w:val="00685604"/>
    <w:rsid w:val="006C6530"/>
    <w:rsid w:val="006C7DD9"/>
    <w:rsid w:val="006D4979"/>
    <w:rsid w:val="006F52E4"/>
    <w:rsid w:val="006F6796"/>
    <w:rsid w:val="00704957"/>
    <w:rsid w:val="007B1747"/>
    <w:rsid w:val="007B1B53"/>
    <w:rsid w:val="007C7427"/>
    <w:rsid w:val="007E12CE"/>
    <w:rsid w:val="00855B46"/>
    <w:rsid w:val="00896D6C"/>
    <w:rsid w:val="008A4D19"/>
    <w:rsid w:val="008B0764"/>
    <w:rsid w:val="008B2BC5"/>
    <w:rsid w:val="00901E5D"/>
    <w:rsid w:val="00961CA4"/>
    <w:rsid w:val="00962FB7"/>
    <w:rsid w:val="009872B0"/>
    <w:rsid w:val="00997D51"/>
    <w:rsid w:val="009A14D6"/>
    <w:rsid w:val="009D1995"/>
    <w:rsid w:val="009E15BA"/>
    <w:rsid w:val="00A41C1A"/>
    <w:rsid w:val="00A439FD"/>
    <w:rsid w:val="00A5262D"/>
    <w:rsid w:val="00A67414"/>
    <w:rsid w:val="00A709C9"/>
    <w:rsid w:val="00A74546"/>
    <w:rsid w:val="00B2174B"/>
    <w:rsid w:val="00B4611F"/>
    <w:rsid w:val="00B547A3"/>
    <w:rsid w:val="00B671FA"/>
    <w:rsid w:val="00B83ED7"/>
    <w:rsid w:val="00C06E6B"/>
    <w:rsid w:val="00C17F48"/>
    <w:rsid w:val="00C34FAF"/>
    <w:rsid w:val="00C63E15"/>
    <w:rsid w:val="00CB4C4B"/>
    <w:rsid w:val="00CC795B"/>
    <w:rsid w:val="00D31920"/>
    <w:rsid w:val="00D45660"/>
    <w:rsid w:val="00D60B8B"/>
    <w:rsid w:val="00D77D2D"/>
    <w:rsid w:val="00D83221"/>
    <w:rsid w:val="00DB69CF"/>
    <w:rsid w:val="00DB6F76"/>
    <w:rsid w:val="00DD445A"/>
    <w:rsid w:val="00DE7541"/>
    <w:rsid w:val="00DF0269"/>
    <w:rsid w:val="00E33440"/>
    <w:rsid w:val="00E77971"/>
    <w:rsid w:val="00EA533C"/>
    <w:rsid w:val="00ED2204"/>
    <w:rsid w:val="00EF23DA"/>
    <w:rsid w:val="00F11BBC"/>
    <w:rsid w:val="00F17E42"/>
    <w:rsid w:val="00F33902"/>
    <w:rsid w:val="00F407FC"/>
    <w:rsid w:val="00F606F7"/>
    <w:rsid w:val="00F72798"/>
    <w:rsid w:val="00F75B03"/>
    <w:rsid w:val="00FA6795"/>
    <w:rsid w:val="00FD61CA"/>
    <w:rsid w:val="00FE4A8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69A0016-D6A3-4CA8-B213-DCA6C9A6C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Calibri Light" w:eastAsia="Calibri Light" w:hAnsi="Calibri Light" w:cs="Calibri Light"/>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FFFFFF"/>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1" w:themeFillTint="34"/>
      </w:tcPr>
    </w:tblStylePr>
    <w:tblStylePr w:type="band1Horz">
      <w:rPr>
        <w:rFonts w:ascii="Arial" w:hAnsi="Arial"/>
        <w:color w:val="404040"/>
        <w:sz w:val="22"/>
      </w:rPr>
      <w:tblPr/>
      <w:tcPr>
        <w:shd w:val="clear" w:color="DDEAF6" w:fill="DDEAF6"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FFFFFF"/>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DEAF6" w:fill="DDEAF6" w:themeFill="accent1" w:themeFillTint="34"/>
      </w:tcPr>
    </w:tblStylePr>
    <w:tblStylePr w:type="band1Horz">
      <w:rPr>
        <w:rFonts w:ascii="Arial" w:hAnsi="Arial"/>
        <w:color w:val="404040"/>
        <w:sz w:val="22"/>
      </w:rPr>
      <w:tblPr/>
      <w:tcPr>
        <w:shd w:val="clear" w:color="DDEAF6" w:fill="DDEAF6"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fill="DEEBF6" w:themeFill="accent1" w:themeFillTint="32"/>
      </w:tcPr>
    </w:tblStylePr>
    <w:tblStylePr w:type="band1Horz">
      <w:rPr>
        <w:rFonts w:ascii="Arial" w:hAnsi="Arial"/>
        <w:color w:val="404040"/>
        <w:sz w:val="22"/>
      </w:rPr>
      <w:tblPr/>
      <w:tcPr>
        <w:shd w:val="clear" w:color="DEEBF6" w:fill="DEEBF6"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fill="FBE5D6" w:themeFill="accent2" w:themeFillTint="32"/>
    </w:tblPr>
    <w:tblStylePr w:type="firstRow">
      <w:rPr>
        <w:rFonts w:ascii="Arial" w:hAnsi="Arial"/>
        <w:b/>
        <w:color w:val="FFFFFF"/>
        <w:sz w:val="22"/>
      </w:rPr>
      <w:tblPr/>
      <w:tcPr>
        <w:shd w:val="clear" w:color="ED7D31" w:fill="ED7D31" w:themeFill="accent2"/>
      </w:tcPr>
    </w:tblStylePr>
    <w:tblStylePr w:type="lastRow">
      <w:rPr>
        <w:rFonts w:ascii="Arial" w:hAnsi="Arial"/>
        <w:b/>
        <w:color w:val="FFFFFF"/>
        <w:sz w:val="22"/>
      </w:rPr>
      <w:tblPr/>
      <w:tcPr>
        <w:tcBorders>
          <w:top w:val="single" w:sz="4" w:space="0" w:color="FFFFFF" w:themeColor="light1"/>
        </w:tcBorders>
        <w:shd w:val="clear" w:color="ED7D31" w:fill="ED7D31" w:themeFill="accent2"/>
      </w:tcPr>
    </w:tblStylePr>
    <w:tblStylePr w:type="firstCol">
      <w:rPr>
        <w:rFonts w:ascii="Arial" w:hAnsi="Arial"/>
        <w:b/>
        <w:color w:val="FFFFFF"/>
        <w:sz w:val="22"/>
      </w:rPr>
      <w:tblPr/>
      <w:tcPr>
        <w:shd w:val="clear" w:color="ED7D31" w:fill="ED7D31" w:themeFill="accent2"/>
      </w:tcPr>
    </w:tblStylePr>
    <w:tblStylePr w:type="lastCol">
      <w:rPr>
        <w:rFonts w:ascii="Arial" w:hAnsi="Arial"/>
        <w:b/>
        <w:color w:val="FFFFFF"/>
        <w:sz w:val="22"/>
      </w:rPr>
      <w:tblPr/>
      <w:tcPr>
        <w:shd w:val="clear" w:color="ED7D31" w:fill="ED7D31" w:themeFill="accent2"/>
      </w:tcPr>
    </w:tblStylePr>
    <w:tblStylePr w:type="band1Vert">
      <w:tblPr/>
      <w:tcPr>
        <w:shd w:val="clear" w:color="F6C3A0" w:fill="F6C3A0" w:themeFill="accent2" w:themeFillTint="75"/>
      </w:tcPr>
    </w:tblStylePr>
    <w:tblStylePr w:type="band1Horz">
      <w:tblPr/>
      <w:tcPr>
        <w:shd w:val="clear" w:color="F6C3A0" w:fill="F6C3A0"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fill="ECECEC" w:themeFill="accent3" w:themeFillTint="34"/>
    </w:tblPr>
    <w:tblStylePr w:type="firstRow">
      <w:rPr>
        <w:rFonts w:ascii="Arial" w:hAnsi="Arial"/>
        <w:b/>
        <w:color w:val="FFFFFF"/>
        <w:sz w:val="22"/>
      </w:rPr>
      <w:tblPr/>
      <w:tcPr>
        <w:shd w:val="clear" w:color="A5A5A5" w:fill="A5A5A5" w:themeFill="accent3"/>
      </w:tcPr>
    </w:tblStylePr>
    <w:tblStylePr w:type="lastRow">
      <w:rPr>
        <w:rFonts w:ascii="Arial" w:hAnsi="Arial"/>
        <w:b/>
        <w:color w:val="FFFFFF"/>
        <w:sz w:val="22"/>
      </w:rPr>
      <w:tblPr/>
      <w:tcPr>
        <w:tcBorders>
          <w:top w:val="single" w:sz="4" w:space="0" w:color="FFFFFF" w:themeColor="light1"/>
        </w:tcBorders>
        <w:shd w:val="clear" w:color="A5A5A5" w:fill="A5A5A5" w:themeFill="accent3"/>
      </w:tcPr>
    </w:tblStylePr>
    <w:tblStylePr w:type="firstCol">
      <w:rPr>
        <w:rFonts w:ascii="Arial" w:hAnsi="Arial"/>
        <w:b/>
        <w:color w:val="FFFFFF"/>
        <w:sz w:val="22"/>
      </w:rPr>
      <w:tblPr/>
      <w:tcPr>
        <w:shd w:val="clear" w:color="A5A5A5" w:fill="A5A5A5" w:themeFill="accent3"/>
      </w:tcPr>
    </w:tblStylePr>
    <w:tblStylePr w:type="lastCol">
      <w:rPr>
        <w:rFonts w:ascii="Arial" w:hAnsi="Arial"/>
        <w:b/>
        <w:color w:val="FFFFFF"/>
        <w:sz w:val="22"/>
      </w:rPr>
      <w:tblPr/>
      <w:tcPr>
        <w:shd w:val="clear" w:color="A5A5A5" w:fill="A5A5A5" w:themeFill="accent3"/>
      </w:tcPr>
    </w:tblStylePr>
    <w:tblStylePr w:type="band1Vert">
      <w:tblPr/>
      <w:tcPr>
        <w:shd w:val="clear" w:color="D5D5D5" w:fill="D5D5D5" w:themeFill="accent3" w:themeFillTint="75"/>
      </w:tcPr>
    </w:tblStylePr>
    <w:tblStylePr w:type="band1Horz">
      <w:tblPr/>
      <w:tcPr>
        <w:shd w:val="clear" w:color="D5D5D5" w:fill="D5D5D5"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fill="D8E2F3" w:themeFill="accent5" w:themeFillTint="34"/>
    </w:tblPr>
    <w:tblStylePr w:type="firstRow">
      <w:rPr>
        <w:rFonts w:ascii="Arial" w:hAnsi="Arial"/>
        <w:b/>
        <w:color w:val="FFFFFF"/>
        <w:sz w:val="22"/>
      </w:rPr>
      <w:tblPr/>
      <w:tcPr>
        <w:shd w:val="clear" w:color="4472C4" w:fill="4472C4" w:themeFill="accent5"/>
      </w:tcPr>
    </w:tblStylePr>
    <w:tblStylePr w:type="lastRow">
      <w:rPr>
        <w:rFonts w:ascii="Arial" w:hAnsi="Arial"/>
        <w:b/>
        <w:color w:val="FFFFFF"/>
        <w:sz w:val="22"/>
      </w:rPr>
      <w:tblPr/>
      <w:tcPr>
        <w:tcBorders>
          <w:top w:val="single" w:sz="4" w:space="0" w:color="FFFFFF" w:themeColor="light1"/>
        </w:tcBorders>
        <w:shd w:val="clear" w:color="4472C4" w:fill="4472C4" w:themeFill="accent5"/>
      </w:tcPr>
    </w:tblStylePr>
    <w:tblStylePr w:type="firstCol">
      <w:rPr>
        <w:rFonts w:ascii="Arial" w:hAnsi="Arial"/>
        <w:b/>
        <w:color w:val="FFFFFF"/>
        <w:sz w:val="22"/>
      </w:rPr>
      <w:tblPr/>
      <w:tcPr>
        <w:shd w:val="clear" w:color="4472C4" w:fill="4472C4" w:themeFill="accent5"/>
      </w:tcPr>
    </w:tblStylePr>
    <w:tblStylePr w:type="lastCol">
      <w:rPr>
        <w:rFonts w:ascii="Arial" w:hAnsi="Arial"/>
        <w:b/>
        <w:color w:val="FFFFFF"/>
        <w:sz w:val="22"/>
      </w:rPr>
      <w:tblPr/>
      <w:tcPr>
        <w:shd w:val="clear" w:color="4472C4" w:fill="4472C4" w:themeFill="accent5"/>
      </w:tcPr>
    </w:tblStylePr>
    <w:tblStylePr w:type="band1Vert">
      <w:tblPr/>
      <w:tcPr>
        <w:shd w:val="clear" w:color="A9BEE4" w:fill="A9BEE4" w:themeFill="accent5" w:themeFillTint="75"/>
      </w:tcPr>
    </w:tblStylePr>
    <w:tblStylePr w:type="band1Horz">
      <w:tblPr/>
      <w:tcPr>
        <w:shd w:val="clear" w:color="A9BEE4" w:fill="A9BEE4"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fill="E1EFD8" w:themeFill="accent6" w:themeFillTint="34"/>
    </w:tblPr>
    <w:tblStylePr w:type="firstRow">
      <w:rPr>
        <w:rFonts w:ascii="Arial" w:hAnsi="Arial"/>
        <w:b/>
        <w:color w:val="FFFFFF"/>
        <w:sz w:val="22"/>
      </w:rPr>
      <w:tblPr/>
      <w:tcPr>
        <w:shd w:val="clear" w:color="70AD47" w:fill="70AD47" w:themeFill="accent6"/>
      </w:tcPr>
    </w:tblStylePr>
    <w:tblStylePr w:type="lastRow">
      <w:rPr>
        <w:rFonts w:ascii="Arial" w:hAnsi="Arial"/>
        <w:b/>
        <w:color w:val="FFFFFF"/>
        <w:sz w:val="22"/>
      </w:rPr>
      <w:tblPr/>
      <w:tcPr>
        <w:tcBorders>
          <w:top w:val="single" w:sz="4" w:space="0" w:color="FFFFFF" w:themeColor="light1"/>
        </w:tcBorders>
        <w:shd w:val="clear" w:color="70AD47" w:fill="70AD47" w:themeFill="accent6"/>
      </w:tcPr>
    </w:tblStylePr>
    <w:tblStylePr w:type="firstCol">
      <w:rPr>
        <w:rFonts w:ascii="Arial" w:hAnsi="Arial"/>
        <w:b/>
        <w:color w:val="FFFFFF"/>
        <w:sz w:val="22"/>
      </w:rPr>
      <w:tblPr/>
      <w:tcPr>
        <w:shd w:val="clear" w:color="70AD47" w:fill="70AD47" w:themeFill="accent6"/>
      </w:tcPr>
    </w:tblStylePr>
    <w:tblStylePr w:type="lastCol">
      <w:rPr>
        <w:rFonts w:ascii="Arial" w:hAnsi="Arial"/>
        <w:b/>
        <w:color w:val="FFFFFF"/>
        <w:sz w:val="22"/>
      </w:rPr>
      <w:tblPr/>
      <w:tcPr>
        <w:shd w:val="clear" w:color="70AD47" w:fill="70AD47" w:themeFill="accent6"/>
      </w:tcPr>
    </w:tblStylePr>
    <w:tblStylePr w:type="band1Vert">
      <w:tblPr/>
      <w:tcPr>
        <w:shd w:val="clear" w:color="BCDBA8" w:fill="BCDBA8" w:themeFill="accent6" w:themeFillTint="75"/>
      </w:tcPr>
    </w:tblStylePr>
    <w:tblStylePr w:type="band1Horz">
      <w:tblPr/>
      <w:tcPr>
        <w:shd w:val="clear" w:color="BCDBA8" w:fill="BCDBA8" w:themeFill="accent6" w:themeFillTint="75"/>
      </w:tc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fill="DDEAF6" w:themeFill="accent1" w:themeFillTint="34"/>
      </w:tcPr>
    </w:tblStylePr>
    <w:tblStylePr w:type="band1Horz">
      <w:rPr>
        <w:rFonts w:ascii="Arial" w:hAnsi="Arial"/>
        <w:color w:val="ACCCEA" w:themeColor="accent1" w:themeTint="80" w:themeShade="95"/>
        <w:sz w:val="22"/>
      </w:rPr>
      <w:tblPr/>
      <w:tcPr>
        <w:shd w:val="clear" w:color="DDEAF6" w:fill="DDEAF6" w:themeFill="accent1" w:themeFillTint="34"/>
      </w:tcPr>
    </w:tblStylePr>
    <w:tblStylePr w:type="band2Horz">
      <w:rPr>
        <w:rFonts w:ascii="Arial" w:hAnsi="Arial"/>
        <w:color w:val="ACCCEA"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fill="D8E2F3" w:themeFill="accent5" w:themeFillTint="34"/>
      </w:tcPr>
    </w:tblStylePr>
    <w:tblStylePr w:type="band1Horz">
      <w:rPr>
        <w:rFonts w:ascii="Arial" w:hAnsi="Arial"/>
        <w:color w:val="254175" w:themeColor="accent5" w:themeShade="95"/>
        <w:sz w:val="22"/>
      </w:rPr>
      <w:tblPr/>
      <w:tcPr>
        <w:shd w:val="clear" w:color="D8E2F3" w:fill="D8E2F3" w:themeFill="accent5" w:themeFillTint="34"/>
      </w:tcPr>
    </w:tblStylePr>
    <w:tblStylePr w:type="band2Horz">
      <w:rPr>
        <w:rFonts w:ascii="Arial" w:hAnsi="Arial"/>
        <w:color w:val="254175"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fill="E1EFD8" w:themeFill="accent6" w:themeFillTint="34"/>
      </w:tcPr>
    </w:tblStylePr>
    <w:tblStylePr w:type="band1Horz">
      <w:rPr>
        <w:rFonts w:ascii="Arial" w:hAnsi="Arial"/>
        <w:color w:val="254175" w:themeColor="accent5" w:themeShade="95"/>
        <w:sz w:val="22"/>
      </w:rPr>
      <w:tblPr/>
      <w:tcPr>
        <w:shd w:val="clear" w:color="E1EFD8" w:fill="E1EFD8" w:themeFill="accent6" w:themeFillTint="34"/>
      </w:tcPr>
    </w:tblStylePr>
    <w:tblStylePr w:type="band2Horz">
      <w:rPr>
        <w:rFonts w:ascii="Arial" w:hAnsi="Arial"/>
        <w:color w:val="254175"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FFFFFF"/>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FFFFFF"/>
      </w:tcPr>
    </w:tblStylePr>
    <w:tblStylePr w:type="band1Vert">
      <w:tblPr/>
      <w:tcPr>
        <w:shd w:val="clear" w:color="DDEAF6" w:fill="DDEAF6" w:themeFill="accent1" w:themeFillTint="34"/>
      </w:tcPr>
    </w:tblStylePr>
    <w:tblStylePr w:type="band1Horz">
      <w:rPr>
        <w:rFonts w:ascii="Arial" w:hAnsi="Arial"/>
        <w:color w:val="ACCCEA" w:themeColor="accent1" w:themeTint="80" w:themeShade="95"/>
        <w:sz w:val="22"/>
      </w:rPr>
      <w:tblPr/>
      <w:tcPr>
        <w:shd w:val="clear" w:color="DDEAF6" w:fill="DDEAF6" w:themeFill="accent1" w:themeFillTint="34"/>
      </w:tcPr>
    </w:tblStylePr>
    <w:tblStylePr w:type="band2Horz">
      <w:rPr>
        <w:rFonts w:ascii="Arial" w:hAnsi="Arial"/>
        <w:color w:val="ACCCEA"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FFFFFF"/>
      </w:tc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FFFFFF"/>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FFFFFF"/>
      </w:tcPr>
    </w:tblStylePr>
    <w:tblStylePr w:type="band1Vert">
      <w:tblPr/>
      <w:tcPr>
        <w:shd w:val="clear" w:color="D8E2F3" w:fill="D8E2F3" w:themeFill="accent5" w:themeFillTint="34"/>
      </w:tcPr>
    </w:tblStylePr>
    <w:tblStylePr w:type="band1Horz">
      <w:rPr>
        <w:rFonts w:ascii="Arial" w:hAnsi="Arial"/>
        <w:color w:val="254175" w:themeColor="accent5" w:themeShade="95"/>
        <w:sz w:val="22"/>
      </w:rPr>
      <w:tblPr/>
      <w:tcPr>
        <w:shd w:val="clear" w:color="D8E2F3" w:fill="D8E2F3" w:themeFill="accent5" w:themeFillTint="34"/>
      </w:tcPr>
    </w:tblStylePr>
    <w:tblStylePr w:type="band2Horz">
      <w:rPr>
        <w:rFonts w:ascii="Arial" w:hAnsi="Arial"/>
        <w:color w:val="254175"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FFFFFF"/>
      </w:tcPr>
    </w:tblStylePr>
    <w:tblStylePr w:type="band1Vert">
      <w:tblPr/>
      <w:tcPr>
        <w:shd w:val="clear" w:color="E1EFD8" w:fill="E1EFD8" w:themeFill="accent6" w:themeFillTint="34"/>
      </w:tcPr>
    </w:tblStylePr>
    <w:tblStylePr w:type="band1Horz">
      <w:rPr>
        <w:rFonts w:ascii="Arial" w:hAnsi="Arial"/>
        <w:color w:val="416429" w:themeColor="accent6" w:themeShade="95"/>
        <w:sz w:val="22"/>
      </w:rPr>
      <w:tblPr/>
      <w:tcPr>
        <w:shd w:val="clear" w:color="E1EFD8" w:fill="E1EFD8" w:themeFill="accent6" w:themeFillTint="34"/>
      </w:tcPr>
    </w:tblStylePr>
    <w:tblStylePr w:type="band2Horz">
      <w:rPr>
        <w:rFonts w:ascii="Arial" w:hAnsi="Arial"/>
        <w:color w:val="416429"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fill="D5E5F4" w:themeFill="accent1" w:themeFillTint="40"/>
      </w:tcPr>
    </w:tblStylePr>
    <w:tblStylePr w:type="band1Horz">
      <w:tblPr/>
      <w:tcPr>
        <w:shd w:val="clear" w:color="D5E5F4" w:fill="D5E5F4"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fill="FADECB" w:themeFill="accent2" w:themeFillTint="40"/>
      </w:tcPr>
    </w:tblStylePr>
    <w:tblStylePr w:type="band1Horz">
      <w:tblPr/>
      <w:tcPr>
        <w:shd w:val="clear" w:color="FADECB" w:fill="FADECB"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fill="E8E8E8" w:themeFill="accent3" w:themeFillTint="40"/>
      </w:tcPr>
    </w:tblStylePr>
    <w:tblStylePr w:type="band1Horz">
      <w:tblPr/>
      <w:tcPr>
        <w:shd w:val="clear" w:color="E8E8E8" w:fill="E8E8E8"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fill="FFEFBF" w:themeFill="accent4" w:themeFillTint="40"/>
      </w:tcPr>
    </w:tblStylePr>
    <w:tblStylePr w:type="band1Horz">
      <w:tblPr/>
      <w:tcPr>
        <w:shd w:val="clear" w:color="FFEFBF" w:fill="FFEFBF"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fill="CFDBF0" w:themeFill="accent5" w:themeFillTint="40"/>
      </w:tcPr>
    </w:tblStylePr>
    <w:tblStylePr w:type="band1Horz">
      <w:tblPr/>
      <w:tcPr>
        <w:shd w:val="clear" w:color="CFDBF0" w:fill="CFDBF0"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fill="DAEBCF" w:themeFill="accent6" w:themeFillTint="40"/>
      </w:tcPr>
    </w:tblStylePr>
    <w:tblStylePr w:type="band1Horz">
      <w:tblPr/>
      <w:tcPr>
        <w:shd w:val="clear" w:color="DAEBCF" w:fill="DAEBCF"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fill="D5E5F4" w:themeFill="accent1" w:themeFillTint="40"/>
      </w:tcPr>
    </w:tblStylePr>
    <w:tblStylePr w:type="band1Horz">
      <w:rPr>
        <w:rFonts w:ascii="Arial" w:hAnsi="Arial"/>
        <w:color w:val="404040"/>
        <w:sz w:val="22"/>
      </w:rPr>
      <w:tblPr/>
      <w:tcPr>
        <w:shd w:val="clear" w:color="D5E5F4" w:fill="D5E5F4"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fill="CFDBF0" w:themeFill="accent5" w:themeFillTint="40"/>
      </w:tcPr>
    </w:tblStylePr>
    <w:tblStylePr w:type="band1Horz">
      <w:rPr>
        <w:rFonts w:ascii="Arial" w:hAnsi="Arial"/>
        <w:color w:val="404040"/>
        <w:sz w:val="22"/>
      </w:rPr>
      <w:tblPr/>
      <w:tcPr>
        <w:shd w:val="clear" w:color="CFDBF0" w:fill="CFDBF0"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fill="D5E5F4" w:themeFill="accent1" w:themeFillTint="40"/>
      </w:tcPr>
    </w:tblStylePr>
    <w:tblStylePr w:type="band1Horz">
      <w:rPr>
        <w:rFonts w:ascii="Arial" w:hAnsi="Arial"/>
        <w:color w:val="404040"/>
        <w:sz w:val="22"/>
      </w:rPr>
      <w:tblPr/>
      <w:tcPr>
        <w:shd w:val="clear" w:color="D5E5F4" w:fill="D5E5F4"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fill="CFDBF0" w:themeFill="accent5" w:themeFillTint="40"/>
      </w:tcPr>
    </w:tblStylePr>
    <w:tblStylePr w:type="band1Horz">
      <w:rPr>
        <w:rFonts w:ascii="Arial" w:hAnsi="Arial"/>
        <w:color w:val="404040"/>
        <w:sz w:val="22"/>
      </w:rPr>
      <w:tblPr/>
      <w:tcPr>
        <w:shd w:val="clear" w:color="CFDBF0" w:fill="CFDBF0"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fill="5B9BD5" w:themeFill="accent1"/>
      </w:tcPr>
    </w:tblStylePr>
    <w:tblStylePr w:type="band2Horz">
      <w:tblPr/>
      <w:tcPr>
        <w:tcBorders>
          <w:top w:val="single" w:sz="4" w:space="0" w:color="FFFFFF" w:themeColor="light1"/>
          <w:bottom w:val="single" w:sz="4" w:space="0" w:color="FFFFFF" w:themeColor="light1"/>
        </w:tcBorders>
        <w:shd w:val="clear" w:color="5B9BD5" w:fill="5B9BD5"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fill="F4B184"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fill="C9C9C9"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fill="FFD865"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fill="8DA9D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fill="A9D08E"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fill="D5E5F4" w:themeFill="accent1" w:themeFillTint="40"/>
      </w:tcPr>
    </w:tblStylePr>
    <w:tblStylePr w:type="band1Horz">
      <w:rPr>
        <w:rFonts w:ascii="Arial" w:hAnsi="Arial"/>
        <w:color w:val="245A8D" w:themeColor="accent1" w:themeShade="95"/>
        <w:sz w:val="22"/>
      </w:rPr>
      <w:tblPr/>
      <w:tcPr>
        <w:shd w:val="clear" w:color="D5E5F4" w:fill="D5E5F4" w:themeFill="accent1" w:themeFillTint="40"/>
      </w:tcPr>
    </w:tblStylePr>
    <w:tblStylePr w:type="band2Horz">
      <w:rPr>
        <w:rFonts w:ascii="Arial" w:hAnsi="Arial"/>
        <w:color w:val="245A8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fill="CFDBF0" w:themeFill="accent5" w:themeFillTint="40"/>
      </w:tcPr>
    </w:tblStylePr>
    <w:tblStylePr w:type="band1Horz">
      <w:rPr>
        <w:rFonts w:ascii="Arial" w:hAnsi="Arial"/>
        <w:color w:val="8DA9DB" w:themeColor="accent5" w:themeTint="9A" w:themeShade="95"/>
        <w:sz w:val="22"/>
      </w:rPr>
      <w:tblPr/>
      <w:tcPr>
        <w:shd w:val="clear" w:color="CFDBF0" w:fill="CFDBF0" w:themeFill="accent5" w:themeFillTint="40"/>
      </w:tcPr>
    </w:tblStylePr>
    <w:tblStylePr w:type="band2Horz">
      <w:rPr>
        <w:rFonts w:ascii="Arial" w:hAnsi="Arial"/>
        <w:color w:val="8DA9D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FFFFFF"/>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FFFFFF"/>
      </w:tcPr>
    </w:tblStylePr>
    <w:tblStylePr w:type="band1Vert">
      <w:tblPr/>
      <w:tcPr>
        <w:shd w:val="clear" w:color="D5E5F4" w:fill="D5E5F4" w:themeFill="accent1" w:themeFillTint="40"/>
      </w:tcPr>
    </w:tblStylePr>
    <w:tblStylePr w:type="band1Horz">
      <w:rPr>
        <w:rFonts w:ascii="Arial" w:hAnsi="Arial"/>
        <w:color w:val="245A8D" w:themeColor="accent1" w:themeShade="95"/>
        <w:sz w:val="22"/>
      </w:rPr>
      <w:tblPr/>
      <w:tcPr>
        <w:shd w:val="clear" w:color="D5E5F4" w:fill="D5E5F4" w:themeFill="accent1" w:themeFillTint="40"/>
      </w:tcPr>
    </w:tblStylePr>
    <w:tblStylePr w:type="band2Horz">
      <w:rPr>
        <w:rFonts w:ascii="Arial" w:hAnsi="Arial"/>
        <w:color w:val="245A8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FFFFFF"/>
      </w:tc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FFFFFF"/>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FFFFFF"/>
      </w:tcPr>
    </w:tblStylePr>
    <w:tblStylePr w:type="band1Vert">
      <w:tblPr/>
      <w:tcPr>
        <w:shd w:val="clear" w:color="CFDBF0" w:fill="CFDBF0" w:themeFill="accent5" w:themeFillTint="40"/>
      </w:tcPr>
    </w:tblStylePr>
    <w:tblStylePr w:type="band1Horz">
      <w:rPr>
        <w:rFonts w:ascii="Arial" w:hAnsi="Arial"/>
        <w:color w:val="8DA9DB" w:themeColor="accent5" w:themeTint="9A" w:themeShade="95"/>
        <w:sz w:val="22"/>
      </w:rPr>
      <w:tblPr/>
      <w:tcPr>
        <w:shd w:val="clear" w:color="CFDBF0" w:fill="CFDBF0" w:themeFill="accent5" w:themeFillTint="40"/>
      </w:tcPr>
    </w:tblStylePr>
    <w:tblStylePr w:type="band2Horz">
      <w:rPr>
        <w:rFonts w:ascii="Arial" w:hAnsi="Arial"/>
        <w:color w:val="8DA9D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FFFFFF"/>
      </w:tc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customStyle="1" w:styleId="TableGridLight1">
    <w:name w:val="Table Grid Light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1">
    <w:name w:val="Grid Table 1 Light - Accent 11"/>
    <w:basedOn w:val="Table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1">
    <w:name w:val="Grid Table 1 Light - Accent 21"/>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e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1">
    <w:name w:val="Grid Table 1 Light - Accent 61"/>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2-Accent11">
    <w:name w:val="Grid Table 2 - Accent 1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FFFFFF"/>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1" w:themeFillTint="34"/>
      </w:tcPr>
    </w:tblStylePr>
    <w:tblStylePr w:type="band1Horz">
      <w:rPr>
        <w:rFonts w:ascii="Arial" w:hAnsi="Arial"/>
        <w:color w:val="404040"/>
        <w:sz w:val="22"/>
      </w:rPr>
      <w:tblPr/>
      <w:tcPr>
        <w:shd w:val="clear" w:color="DDEAF6" w:fill="DDEAF6" w:themeFill="accent1" w:themeFillTint="34"/>
      </w:tcPr>
    </w:tblStylePr>
  </w:style>
  <w:style w:type="table" w:customStyle="1" w:styleId="GridTable2-Accent21">
    <w:name w:val="Grid Table 2 - Accent 21"/>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2-Accent31">
    <w:name w:val="Grid Table 2 - Accent 31"/>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2-Accent41">
    <w:name w:val="Grid Table 2 - Accent 41"/>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2-Accent51">
    <w:name w:val="Grid Table 2 - Accent 51"/>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FFFFFF"/>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customStyle="1" w:styleId="GridTable2-Accent61">
    <w:name w:val="Grid Table 2 - Accent 61"/>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customStyle="1" w:styleId="GridTable3-Accent11">
    <w:name w:val="Grid Table 3 - Accent 1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DEAF6" w:fill="DDEAF6" w:themeFill="accent1" w:themeFillTint="34"/>
      </w:tcPr>
    </w:tblStylePr>
    <w:tblStylePr w:type="band1Horz">
      <w:rPr>
        <w:rFonts w:ascii="Arial" w:hAnsi="Arial"/>
        <w:color w:val="404040"/>
        <w:sz w:val="22"/>
      </w:rPr>
      <w:tblPr/>
      <w:tcPr>
        <w:shd w:val="clear" w:color="DDEAF6" w:fill="DDEAF6" w:themeFill="accent1" w:themeFillTint="34"/>
      </w:tcPr>
    </w:tblStylePr>
  </w:style>
  <w:style w:type="table" w:customStyle="1" w:styleId="GridTable3-Accent21">
    <w:name w:val="Grid Table 3 - Accent 21"/>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3-Accent31">
    <w:name w:val="Grid Table 3 - Accent 31"/>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3-Accent41">
    <w:name w:val="Grid Table 3 - Accent 41"/>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3-Accent51">
    <w:name w:val="Grid Table 3 - Accent 51"/>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customStyle="1" w:styleId="GridTable3-Accent61">
    <w:name w:val="Grid Table 3 - Accent 61"/>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customStyle="1" w:styleId="GridTable4-Accent11">
    <w:name w:val="Grid Table 4 - Accent 11"/>
    <w:basedOn w:val="Table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fill="DEEBF6" w:themeFill="accent1" w:themeFillTint="32"/>
      </w:tcPr>
    </w:tblStylePr>
    <w:tblStylePr w:type="band1Horz">
      <w:rPr>
        <w:rFonts w:ascii="Arial" w:hAnsi="Arial"/>
        <w:color w:val="404040"/>
        <w:sz w:val="22"/>
      </w:rPr>
      <w:tblPr/>
      <w:tcPr>
        <w:shd w:val="clear" w:color="DEEBF6" w:fill="DEEBF6" w:themeFill="accent1" w:themeFillTint="32"/>
      </w:tcPr>
    </w:tblStylePr>
  </w:style>
  <w:style w:type="table" w:customStyle="1" w:styleId="GridTable4-Accent21">
    <w:name w:val="Grid Table 4 - Accent 21"/>
    <w:basedOn w:val="Table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4-Accent31">
    <w:name w:val="Grid Table 4 - Accent 31"/>
    <w:basedOn w:val="Table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4-Accent41">
    <w:name w:val="Grid Table 4 - Accent 41"/>
    <w:basedOn w:val="Table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4-Accent51">
    <w:name w:val="Grid Table 4 - Accent 51"/>
    <w:basedOn w:val="Table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Pr/>
      <w:tcPr>
        <w:shd w:val="clear" w:color="D8E2F3" w:fill="D8E2F3" w:themeFill="accent5" w:themeFillTint="34"/>
      </w:tcPr>
    </w:tblStylePr>
  </w:style>
  <w:style w:type="table" w:customStyle="1" w:styleId="GridTable4-Accent61">
    <w:name w:val="Grid Table 4 - Accent 61"/>
    <w:basedOn w:val="Table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customStyle="1" w:styleId="GridTable5Dark-Accent21">
    <w:name w:val="Grid Table 5 Dark - Accent 2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fill="FBE5D6" w:themeFill="accent2" w:themeFillTint="32"/>
    </w:tblPr>
    <w:tblStylePr w:type="firstRow">
      <w:rPr>
        <w:rFonts w:ascii="Arial" w:hAnsi="Arial"/>
        <w:b/>
        <w:color w:val="FFFFFF"/>
        <w:sz w:val="22"/>
      </w:rPr>
      <w:tblPr/>
      <w:tcPr>
        <w:shd w:val="clear" w:color="ED7D31" w:fill="ED7D31" w:themeFill="accent2"/>
      </w:tcPr>
    </w:tblStylePr>
    <w:tblStylePr w:type="lastRow">
      <w:rPr>
        <w:rFonts w:ascii="Arial" w:hAnsi="Arial"/>
        <w:b/>
        <w:color w:val="FFFFFF"/>
        <w:sz w:val="22"/>
      </w:rPr>
      <w:tblPr/>
      <w:tcPr>
        <w:tcBorders>
          <w:top w:val="single" w:sz="4" w:space="0" w:color="FFFFFF" w:themeColor="light1"/>
        </w:tcBorders>
        <w:shd w:val="clear" w:color="ED7D31" w:fill="ED7D31" w:themeFill="accent2"/>
      </w:tcPr>
    </w:tblStylePr>
    <w:tblStylePr w:type="firstCol">
      <w:rPr>
        <w:rFonts w:ascii="Arial" w:hAnsi="Arial"/>
        <w:b/>
        <w:color w:val="FFFFFF"/>
        <w:sz w:val="22"/>
      </w:rPr>
      <w:tblPr/>
      <w:tcPr>
        <w:shd w:val="clear" w:color="ED7D31" w:fill="ED7D31" w:themeFill="accent2"/>
      </w:tcPr>
    </w:tblStylePr>
    <w:tblStylePr w:type="lastCol">
      <w:rPr>
        <w:rFonts w:ascii="Arial" w:hAnsi="Arial"/>
        <w:b/>
        <w:color w:val="FFFFFF"/>
        <w:sz w:val="22"/>
      </w:rPr>
      <w:tblPr/>
      <w:tcPr>
        <w:shd w:val="clear" w:color="ED7D31" w:fill="ED7D31" w:themeFill="accent2"/>
      </w:tcPr>
    </w:tblStylePr>
    <w:tblStylePr w:type="band1Vert">
      <w:tblPr/>
      <w:tcPr>
        <w:shd w:val="clear" w:color="F6C3A0" w:fill="F6C3A0" w:themeFill="accent2" w:themeFillTint="75"/>
      </w:tcPr>
    </w:tblStylePr>
    <w:tblStylePr w:type="band1Horz">
      <w:tblPr/>
      <w:tcPr>
        <w:shd w:val="clear" w:color="F6C3A0" w:fill="F6C3A0" w:themeFill="accent2" w:themeFillTint="75"/>
      </w:tcPr>
    </w:tblStylePr>
  </w:style>
  <w:style w:type="table" w:customStyle="1" w:styleId="GridTable5Dark-Accent31">
    <w:name w:val="Grid Table 5 Dark - Accent 3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fill="ECECEC" w:themeFill="accent3" w:themeFillTint="34"/>
    </w:tblPr>
    <w:tblStylePr w:type="firstRow">
      <w:rPr>
        <w:rFonts w:ascii="Arial" w:hAnsi="Arial"/>
        <w:b/>
        <w:color w:val="FFFFFF"/>
        <w:sz w:val="22"/>
      </w:rPr>
      <w:tblPr/>
      <w:tcPr>
        <w:shd w:val="clear" w:color="A5A5A5" w:fill="A5A5A5" w:themeFill="accent3"/>
      </w:tcPr>
    </w:tblStylePr>
    <w:tblStylePr w:type="lastRow">
      <w:rPr>
        <w:rFonts w:ascii="Arial" w:hAnsi="Arial"/>
        <w:b/>
        <w:color w:val="FFFFFF"/>
        <w:sz w:val="22"/>
      </w:rPr>
      <w:tblPr/>
      <w:tcPr>
        <w:tcBorders>
          <w:top w:val="single" w:sz="4" w:space="0" w:color="FFFFFF" w:themeColor="light1"/>
        </w:tcBorders>
        <w:shd w:val="clear" w:color="A5A5A5" w:fill="A5A5A5" w:themeFill="accent3"/>
      </w:tcPr>
    </w:tblStylePr>
    <w:tblStylePr w:type="firstCol">
      <w:rPr>
        <w:rFonts w:ascii="Arial" w:hAnsi="Arial"/>
        <w:b/>
        <w:color w:val="FFFFFF"/>
        <w:sz w:val="22"/>
      </w:rPr>
      <w:tblPr/>
      <w:tcPr>
        <w:shd w:val="clear" w:color="A5A5A5" w:fill="A5A5A5" w:themeFill="accent3"/>
      </w:tcPr>
    </w:tblStylePr>
    <w:tblStylePr w:type="lastCol">
      <w:rPr>
        <w:rFonts w:ascii="Arial" w:hAnsi="Arial"/>
        <w:b/>
        <w:color w:val="FFFFFF"/>
        <w:sz w:val="22"/>
      </w:rPr>
      <w:tblPr/>
      <w:tcPr>
        <w:shd w:val="clear" w:color="A5A5A5" w:fill="A5A5A5" w:themeFill="accent3"/>
      </w:tcPr>
    </w:tblStylePr>
    <w:tblStylePr w:type="band1Vert">
      <w:tblPr/>
      <w:tcPr>
        <w:shd w:val="clear" w:color="D5D5D5" w:fill="D5D5D5" w:themeFill="accent3" w:themeFillTint="75"/>
      </w:tcPr>
    </w:tblStylePr>
    <w:tblStylePr w:type="band1Horz">
      <w:tblPr/>
      <w:tcPr>
        <w:shd w:val="clear" w:color="D5D5D5" w:fill="D5D5D5" w:themeFill="accent3" w:themeFillTint="75"/>
      </w:tcPr>
    </w:tblStylePr>
  </w:style>
  <w:style w:type="table" w:customStyle="1" w:styleId="GridTable5Dark-Accent51">
    <w:name w:val="Grid Table 5 Dark - Accent 5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fill="D8E2F3" w:themeFill="accent5" w:themeFillTint="34"/>
    </w:tblPr>
    <w:tblStylePr w:type="firstRow">
      <w:rPr>
        <w:rFonts w:ascii="Arial" w:hAnsi="Arial"/>
        <w:b/>
        <w:color w:val="FFFFFF"/>
        <w:sz w:val="22"/>
      </w:rPr>
      <w:tblPr/>
      <w:tcPr>
        <w:shd w:val="clear" w:color="4472C4" w:fill="4472C4" w:themeFill="accent5"/>
      </w:tcPr>
    </w:tblStylePr>
    <w:tblStylePr w:type="lastRow">
      <w:rPr>
        <w:rFonts w:ascii="Arial" w:hAnsi="Arial"/>
        <w:b/>
        <w:color w:val="FFFFFF"/>
        <w:sz w:val="22"/>
      </w:rPr>
      <w:tblPr/>
      <w:tcPr>
        <w:tcBorders>
          <w:top w:val="single" w:sz="4" w:space="0" w:color="FFFFFF" w:themeColor="light1"/>
        </w:tcBorders>
        <w:shd w:val="clear" w:color="4472C4" w:fill="4472C4" w:themeFill="accent5"/>
      </w:tcPr>
    </w:tblStylePr>
    <w:tblStylePr w:type="firstCol">
      <w:rPr>
        <w:rFonts w:ascii="Arial" w:hAnsi="Arial"/>
        <w:b/>
        <w:color w:val="FFFFFF"/>
        <w:sz w:val="22"/>
      </w:rPr>
      <w:tblPr/>
      <w:tcPr>
        <w:shd w:val="clear" w:color="4472C4" w:fill="4472C4" w:themeFill="accent5"/>
      </w:tcPr>
    </w:tblStylePr>
    <w:tblStylePr w:type="lastCol">
      <w:rPr>
        <w:rFonts w:ascii="Arial" w:hAnsi="Arial"/>
        <w:b/>
        <w:color w:val="FFFFFF"/>
        <w:sz w:val="22"/>
      </w:rPr>
      <w:tblPr/>
      <w:tcPr>
        <w:shd w:val="clear" w:color="4472C4" w:fill="4472C4" w:themeFill="accent5"/>
      </w:tcPr>
    </w:tblStylePr>
    <w:tblStylePr w:type="band1Vert">
      <w:tblPr/>
      <w:tcPr>
        <w:shd w:val="clear" w:color="A9BEE4" w:fill="A9BEE4" w:themeFill="accent5" w:themeFillTint="75"/>
      </w:tcPr>
    </w:tblStylePr>
    <w:tblStylePr w:type="band1Horz">
      <w:tblPr/>
      <w:tcPr>
        <w:shd w:val="clear" w:color="A9BEE4" w:fill="A9BEE4" w:themeFill="accent5" w:themeFillTint="75"/>
      </w:tcPr>
    </w:tblStylePr>
  </w:style>
  <w:style w:type="table" w:customStyle="1" w:styleId="GridTable5Dark-Accent61">
    <w:name w:val="Grid Table 5 Dark - Accent 6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fill="E1EFD8" w:themeFill="accent6" w:themeFillTint="34"/>
    </w:tblPr>
    <w:tblStylePr w:type="firstRow">
      <w:rPr>
        <w:rFonts w:ascii="Arial" w:hAnsi="Arial"/>
        <w:b/>
        <w:color w:val="FFFFFF"/>
        <w:sz w:val="22"/>
      </w:rPr>
      <w:tblPr/>
      <w:tcPr>
        <w:shd w:val="clear" w:color="70AD47" w:fill="70AD47" w:themeFill="accent6"/>
      </w:tcPr>
    </w:tblStylePr>
    <w:tblStylePr w:type="lastRow">
      <w:rPr>
        <w:rFonts w:ascii="Arial" w:hAnsi="Arial"/>
        <w:b/>
        <w:color w:val="FFFFFF"/>
        <w:sz w:val="22"/>
      </w:rPr>
      <w:tblPr/>
      <w:tcPr>
        <w:tcBorders>
          <w:top w:val="single" w:sz="4" w:space="0" w:color="FFFFFF" w:themeColor="light1"/>
        </w:tcBorders>
        <w:shd w:val="clear" w:color="70AD47" w:fill="70AD47" w:themeFill="accent6"/>
      </w:tcPr>
    </w:tblStylePr>
    <w:tblStylePr w:type="firstCol">
      <w:rPr>
        <w:rFonts w:ascii="Arial" w:hAnsi="Arial"/>
        <w:b/>
        <w:color w:val="FFFFFF"/>
        <w:sz w:val="22"/>
      </w:rPr>
      <w:tblPr/>
      <w:tcPr>
        <w:shd w:val="clear" w:color="70AD47" w:fill="70AD47" w:themeFill="accent6"/>
      </w:tcPr>
    </w:tblStylePr>
    <w:tblStylePr w:type="lastCol">
      <w:rPr>
        <w:rFonts w:ascii="Arial" w:hAnsi="Arial"/>
        <w:b/>
        <w:color w:val="FFFFFF"/>
        <w:sz w:val="22"/>
      </w:rPr>
      <w:tblPr/>
      <w:tcPr>
        <w:shd w:val="clear" w:color="70AD47" w:fill="70AD47" w:themeFill="accent6"/>
      </w:tcPr>
    </w:tblStylePr>
    <w:tblStylePr w:type="band1Vert">
      <w:tblPr/>
      <w:tcPr>
        <w:shd w:val="clear" w:color="BCDBA8" w:fill="BCDBA8" w:themeFill="accent6" w:themeFillTint="75"/>
      </w:tcPr>
    </w:tblStylePr>
    <w:tblStylePr w:type="band1Horz">
      <w:tblPr/>
      <w:tcPr>
        <w:shd w:val="clear" w:color="BCDBA8" w:fill="BCDBA8" w:themeFill="accent6" w:themeFillTint="75"/>
      </w:tcPr>
    </w:tblStylePr>
  </w:style>
  <w:style w:type="table" w:customStyle="1" w:styleId="GridTable6Colorful-Accent11">
    <w:name w:val="Grid Table 6 Colorful - Accent 11"/>
    <w:basedOn w:val="Table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fill="DDEAF6" w:themeFill="accent1" w:themeFillTint="34"/>
      </w:tcPr>
    </w:tblStylePr>
    <w:tblStylePr w:type="band1Horz">
      <w:rPr>
        <w:rFonts w:ascii="Arial" w:hAnsi="Arial"/>
        <w:color w:val="ACCCEA" w:themeColor="accent1" w:themeTint="80" w:themeShade="95"/>
        <w:sz w:val="22"/>
      </w:rPr>
      <w:tblPr/>
      <w:tcPr>
        <w:shd w:val="clear" w:color="DDEAF6"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1">
    <w:name w:val="Grid Table 6 Colorful - Accent 21"/>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e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e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fill="D8E2F3" w:themeFill="accent5" w:themeFillTint="34"/>
      </w:tcPr>
    </w:tblStylePr>
    <w:tblStylePr w:type="band1Horz">
      <w:rPr>
        <w:rFonts w:ascii="Arial" w:hAnsi="Arial"/>
        <w:color w:val="254175" w:themeColor="accent5" w:themeShade="95"/>
        <w:sz w:val="22"/>
      </w:rPr>
      <w:tblPr/>
      <w:tcPr>
        <w:shd w:val="clear" w:color="D8E2F3"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1">
    <w:name w:val="Grid Table 6 Colorful - Accent 61"/>
    <w:basedOn w:val="Table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fill="E1EFD8" w:themeFill="accent6" w:themeFillTint="34"/>
      </w:tcPr>
    </w:tblStylePr>
    <w:tblStylePr w:type="band1Horz">
      <w:rPr>
        <w:rFonts w:ascii="Arial" w:hAnsi="Arial"/>
        <w:color w:val="254175" w:themeColor="accent5" w:themeShade="95"/>
        <w:sz w:val="22"/>
      </w:rPr>
      <w:tblPr/>
      <w:tcPr>
        <w:shd w:val="clear" w:color="E1EFD8" w:fill="E1EFD8" w:themeFill="accent6" w:themeFillTint="34"/>
      </w:tcPr>
    </w:tblStylePr>
    <w:tblStylePr w:type="band2Horz">
      <w:rPr>
        <w:rFonts w:ascii="Arial" w:hAnsi="Arial"/>
        <w:color w:val="254175" w:themeColor="accent5" w:themeShade="95"/>
        <w:sz w:val="22"/>
      </w:rPr>
    </w:tblStylePr>
  </w:style>
  <w:style w:type="table" w:customStyle="1" w:styleId="GridTable7Colorful-Accent11">
    <w:name w:val="Grid Table 7 Colorful - Accent 11"/>
    <w:basedOn w:val="Table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FFFFFF"/>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FFFFFF"/>
      </w:tcPr>
    </w:tblStylePr>
    <w:tblStylePr w:type="band1Vert">
      <w:tblPr/>
      <w:tcPr>
        <w:shd w:val="clear" w:color="DDEAF6" w:fill="DDEAF6" w:themeFill="accent1" w:themeFillTint="34"/>
      </w:tcPr>
    </w:tblStylePr>
    <w:tblStylePr w:type="band1Horz">
      <w:rPr>
        <w:rFonts w:ascii="Arial" w:hAnsi="Arial"/>
        <w:color w:val="ACCCEA" w:themeColor="accent1" w:themeTint="80" w:themeShade="95"/>
        <w:sz w:val="22"/>
      </w:rPr>
      <w:tblPr/>
      <w:tcPr>
        <w:shd w:val="clear" w:color="DDEAF6"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1">
    <w:name w:val="Grid Table 7 Colorful - Accent 21"/>
    <w:basedOn w:val="Table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e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FFFFFF"/>
      </w:tc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e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e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FFFFFF"/>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FFFFFF"/>
      </w:tcPr>
    </w:tblStylePr>
    <w:tblStylePr w:type="band1Vert">
      <w:tblPr/>
      <w:tcPr>
        <w:shd w:val="clear" w:color="D8E2F3" w:fill="D8E2F3" w:themeFill="accent5" w:themeFillTint="34"/>
      </w:tcPr>
    </w:tblStylePr>
    <w:tblStylePr w:type="band1Horz">
      <w:rPr>
        <w:rFonts w:ascii="Arial" w:hAnsi="Arial"/>
        <w:color w:val="254175" w:themeColor="accent5" w:themeShade="95"/>
        <w:sz w:val="22"/>
      </w:rPr>
      <w:tblPr/>
      <w:tcPr>
        <w:shd w:val="clear" w:color="D8E2F3"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1">
    <w:name w:val="Grid Table 7 Colorful - Accent 61"/>
    <w:basedOn w:val="Table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FFFFFF"/>
      </w:tcPr>
    </w:tblStylePr>
    <w:tblStylePr w:type="band1Vert">
      <w:tblPr/>
      <w:tcPr>
        <w:shd w:val="clear" w:color="E1EFD8" w:fill="E1EFD8" w:themeFill="accent6" w:themeFillTint="34"/>
      </w:tcPr>
    </w:tblStylePr>
    <w:tblStylePr w:type="band1Horz">
      <w:rPr>
        <w:rFonts w:ascii="Arial" w:hAnsi="Arial"/>
        <w:color w:val="416429" w:themeColor="accent6" w:themeShade="95"/>
        <w:sz w:val="22"/>
      </w:rPr>
      <w:tblPr/>
      <w:tcPr>
        <w:shd w:val="clear" w:color="E1EFD8" w:fill="E1EFD8" w:themeFill="accent6" w:themeFillTint="34"/>
      </w:tcPr>
    </w:tblStylePr>
    <w:tblStylePr w:type="band2Horz">
      <w:rPr>
        <w:rFonts w:ascii="Arial" w:hAnsi="Arial"/>
        <w:color w:val="416429" w:themeColor="accent6" w:themeShade="95"/>
        <w:sz w:val="22"/>
      </w:rPr>
    </w:tblStylePr>
  </w:style>
  <w:style w:type="table" w:customStyle="1" w:styleId="ListTable1Light-Accent11">
    <w:name w:val="List Table 1 Light - Accent 1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fill="D5E5F4" w:themeFill="accent1" w:themeFillTint="40"/>
      </w:tcPr>
    </w:tblStylePr>
    <w:tblStylePr w:type="band1Horz">
      <w:tblPr/>
      <w:tcPr>
        <w:shd w:val="clear" w:color="D5E5F4" w:fill="D5E5F4" w:themeFill="accent1" w:themeFillTint="40"/>
      </w:tcPr>
    </w:tblStylePr>
  </w:style>
  <w:style w:type="table" w:customStyle="1" w:styleId="ListTable1Light-Accent21">
    <w:name w:val="List Table 1 Light - Accent 2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fill="FADECB" w:themeFill="accent2" w:themeFillTint="40"/>
      </w:tcPr>
    </w:tblStylePr>
    <w:tblStylePr w:type="band1Horz">
      <w:tblPr/>
      <w:tcPr>
        <w:shd w:val="clear" w:color="FADECB" w:fill="FADECB" w:themeFill="accent2" w:themeFillTint="40"/>
      </w:tcPr>
    </w:tblStylePr>
  </w:style>
  <w:style w:type="table" w:customStyle="1" w:styleId="ListTable1Light-Accent31">
    <w:name w:val="List Table 1 Light - Accent 3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fill="E8E8E8" w:themeFill="accent3" w:themeFillTint="40"/>
      </w:tcPr>
    </w:tblStylePr>
    <w:tblStylePr w:type="band1Horz">
      <w:tblPr/>
      <w:tcPr>
        <w:shd w:val="clear" w:color="E8E8E8" w:fill="E8E8E8" w:themeFill="accent3" w:themeFillTint="40"/>
      </w:tcPr>
    </w:tblStylePr>
  </w:style>
  <w:style w:type="table" w:customStyle="1" w:styleId="ListTable1Light-Accent41">
    <w:name w:val="List Table 1 Light - Accent 4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fill="FFEFBF" w:themeFill="accent4" w:themeFillTint="40"/>
      </w:tcPr>
    </w:tblStylePr>
    <w:tblStylePr w:type="band1Horz">
      <w:tblPr/>
      <w:tcPr>
        <w:shd w:val="clear" w:color="FFEFBF" w:fill="FFEFBF" w:themeFill="accent4" w:themeFillTint="40"/>
      </w:tcPr>
    </w:tblStylePr>
  </w:style>
  <w:style w:type="table" w:customStyle="1" w:styleId="ListTable1Light-Accent51">
    <w:name w:val="List Table 1 Light - Accent 5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fill="CFDBF0" w:themeFill="accent5" w:themeFillTint="40"/>
      </w:tcPr>
    </w:tblStylePr>
    <w:tblStylePr w:type="band1Horz">
      <w:tblPr/>
      <w:tcPr>
        <w:shd w:val="clear" w:color="CFDBF0" w:fill="CFDBF0" w:themeFill="accent5" w:themeFillTint="40"/>
      </w:tcPr>
    </w:tblStylePr>
  </w:style>
  <w:style w:type="table" w:customStyle="1" w:styleId="ListTable1Light-Accent61">
    <w:name w:val="List Table 1 Light - Accent 6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fill="DAEBCF" w:themeFill="accent6" w:themeFillTint="40"/>
      </w:tcPr>
    </w:tblStylePr>
    <w:tblStylePr w:type="band1Horz">
      <w:tblPr/>
      <w:tcPr>
        <w:shd w:val="clear" w:color="DAEBCF" w:fill="DAEBCF" w:themeFill="accent6" w:themeFillTint="40"/>
      </w:tcPr>
    </w:tblStylePr>
  </w:style>
  <w:style w:type="table" w:customStyle="1" w:styleId="ListTable2-Accent11">
    <w:name w:val="List Table 2 - Accent 11"/>
    <w:basedOn w:val="Table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fill="D5E5F4" w:themeFill="accent1" w:themeFillTint="40"/>
      </w:tcPr>
    </w:tblStylePr>
    <w:tblStylePr w:type="band1Horz">
      <w:rPr>
        <w:rFonts w:ascii="Arial" w:hAnsi="Arial"/>
        <w:color w:val="404040"/>
        <w:sz w:val="22"/>
      </w:rPr>
      <w:tblPr/>
      <w:tcPr>
        <w:shd w:val="clear" w:color="D5E5F4" w:fill="D5E5F4" w:themeFill="accent1" w:themeFillTint="40"/>
      </w:tcPr>
    </w:tblStylePr>
  </w:style>
  <w:style w:type="table" w:customStyle="1" w:styleId="ListTable2-Accent21">
    <w:name w:val="List Table 2 - Accent 21"/>
    <w:basedOn w:val="Table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customStyle="1" w:styleId="ListTable2-Accent31">
    <w:name w:val="List Table 2 - Accent 31"/>
    <w:basedOn w:val="Table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customStyle="1" w:styleId="ListTable2-Accent41">
    <w:name w:val="List Table 2 - Accent 41"/>
    <w:basedOn w:val="Table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customStyle="1" w:styleId="ListTable2-Accent51">
    <w:name w:val="List Table 2 - Accent 51"/>
    <w:basedOn w:val="Table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fill="CFDBF0" w:themeFill="accent5" w:themeFillTint="40"/>
      </w:tcPr>
    </w:tblStylePr>
    <w:tblStylePr w:type="band1Horz">
      <w:rPr>
        <w:rFonts w:ascii="Arial" w:hAnsi="Arial"/>
        <w:color w:val="404040"/>
        <w:sz w:val="22"/>
      </w:rPr>
      <w:tblPr/>
      <w:tcPr>
        <w:shd w:val="clear" w:color="CFDBF0" w:fill="CFDBF0" w:themeFill="accent5" w:themeFillTint="40"/>
      </w:tcPr>
    </w:tblStylePr>
  </w:style>
  <w:style w:type="table" w:customStyle="1" w:styleId="ListTable2-Accent61">
    <w:name w:val="List Table 2 - Accent 61"/>
    <w:basedOn w:val="Table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customStyle="1" w:styleId="ListTable3-Accent11">
    <w:name w:val="List Table 3 - Accent 11"/>
    <w:basedOn w:val="Table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1">
    <w:name w:val="List Table 3 - Accent 21"/>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e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e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1">
    <w:name w:val="List Table 3 - Accent 61"/>
    <w:basedOn w:val="Table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Table4-Accent11">
    <w:name w:val="List Table 4 - Accent 11"/>
    <w:basedOn w:val="Table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fill="D5E5F4" w:themeFill="accent1" w:themeFillTint="40"/>
      </w:tcPr>
    </w:tblStylePr>
    <w:tblStylePr w:type="band1Horz">
      <w:rPr>
        <w:rFonts w:ascii="Arial" w:hAnsi="Arial"/>
        <w:color w:val="404040"/>
        <w:sz w:val="22"/>
      </w:rPr>
      <w:tblPr/>
      <w:tcPr>
        <w:shd w:val="clear" w:color="D5E5F4" w:fill="D5E5F4" w:themeFill="accent1" w:themeFillTint="40"/>
      </w:tcPr>
    </w:tblStylePr>
  </w:style>
  <w:style w:type="table" w:customStyle="1" w:styleId="ListTable4-Accent21">
    <w:name w:val="List Table 4 - Accent 21"/>
    <w:basedOn w:val="Table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customStyle="1" w:styleId="ListTable4-Accent31">
    <w:name w:val="List Table 4 - Accent 31"/>
    <w:basedOn w:val="Table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customStyle="1" w:styleId="ListTable4-Accent41">
    <w:name w:val="List Table 4 - Accent 41"/>
    <w:basedOn w:val="Table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customStyle="1" w:styleId="ListTable4-Accent51">
    <w:name w:val="List Table 4 - Accent 51"/>
    <w:basedOn w:val="Table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fill="CFDBF0" w:themeFill="accent5" w:themeFillTint="40"/>
      </w:tcPr>
    </w:tblStylePr>
    <w:tblStylePr w:type="band1Horz">
      <w:rPr>
        <w:rFonts w:ascii="Arial" w:hAnsi="Arial"/>
        <w:color w:val="404040"/>
        <w:sz w:val="22"/>
      </w:rPr>
      <w:tblPr/>
      <w:tcPr>
        <w:shd w:val="clear" w:color="CFDBF0" w:fill="CFDBF0" w:themeFill="accent5" w:themeFillTint="40"/>
      </w:tcPr>
    </w:tblStylePr>
  </w:style>
  <w:style w:type="table" w:customStyle="1" w:styleId="ListTable4-Accent61">
    <w:name w:val="List Table 4 - Accent 61"/>
    <w:basedOn w:val="Table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customStyle="1" w:styleId="ListTable5Dark-Accent11">
    <w:name w:val="List Table 5 Dark - Accent 11"/>
    <w:basedOn w:val="Table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fill="5B9BD5" w:themeFill="accent1"/>
      </w:tcPr>
    </w:tblStylePr>
    <w:tblStylePr w:type="band2Horz">
      <w:tblPr/>
      <w:tcPr>
        <w:tcBorders>
          <w:top w:val="single" w:sz="4" w:space="0" w:color="FFFFFF" w:themeColor="light1"/>
          <w:bottom w:val="single" w:sz="4" w:space="0" w:color="FFFFFF" w:themeColor="light1"/>
        </w:tcBorders>
        <w:shd w:val="clear" w:color="5B9BD5" w:fill="5B9BD5" w:themeFill="accent1"/>
      </w:tcPr>
    </w:tblStylePr>
  </w:style>
  <w:style w:type="table" w:customStyle="1" w:styleId="ListTable5Dark-Accent21">
    <w:name w:val="List Table 5 Dark - Accent 21"/>
    <w:basedOn w:val="Table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fill="F4B184" w:themeFill="accent2" w:themeFillTint="97"/>
      </w:tcPr>
    </w:tblStylePr>
  </w:style>
  <w:style w:type="table" w:customStyle="1" w:styleId="ListTable5Dark-Accent31">
    <w:name w:val="List Table 5 Dark - Accent 31"/>
    <w:basedOn w:val="Table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fill="C9C9C9" w:themeFill="accent3" w:themeFillTint="98"/>
      </w:tcPr>
    </w:tblStylePr>
  </w:style>
  <w:style w:type="table" w:customStyle="1" w:styleId="ListTable5Dark-Accent41">
    <w:name w:val="List Table 5 Dark - Accent 41"/>
    <w:basedOn w:val="Table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fill="FFD865" w:themeFill="accent4" w:themeFillTint="9A"/>
      </w:tcPr>
    </w:tblStylePr>
  </w:style>
  <w:style w:type="table" w:customStyle="1" w:styleId="ListTable5Dark-Accent51">
    <w:name w:val="List Table 5 Dark - Accent 51"/>
    <w:basedOn w:val="Table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fill="8DA9DB" w:themeFill="accent5" w:themeFillTint="9A"/>
      </w:tcPr>
    </w:tblStylePr>
  </w:style>
  <w:style w:type="table" w:customStyle="1" w:styleId="ListTable5Dark-Accent61">
    <w:name w:val="List Table 5 Dark - Accent 61"/>
    <w:basedOn w:val="Table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fill="A9D08E" w:themeFill="accent6" w:themeFillTint="98"/>
      </w:tcPr>
    </w:tblStylePr>
  </w:style>
  <w:style w:type="table" w:customStyle="1" w:styleId="ListTable6Colorful-Accent11">
    <w:name w:val="List Table 6 Colorful - Accent 11"/>
    <w:basedOn w:val="Table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fill="D5E5F4" w:themeFill="accent1" w:themeFillTint="40"/>
      </w:tcPr>
    </w:tblStylePr>
    <w:tblStylePr w:type="band1Horz">
      <w:rPr>
        <w:rFonts w:ascii="Arial" w:hAnsi="Arial"/>
        <w:color w:val="245A8D" w:themeColor="accent1" w:themeShade="95"/>
        <w:sz w:val="22"/>
      </w:rPr>
      <w:tblPr/>
      <w:tcPr>
        <w:shd w:val="clear" w:color="D5E5F4"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1">
    <w:name w:val="List Table 6 Colorful - Accent 21"/>
    <w:basedOn w:val="Table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e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e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e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fill="CFDBF0" w:themeFill="accent5" w:themeFillTint="40"/>
      </w:tcPr>
    </w:tblStylePr>
    <w:tblStylePr w:type="band1Horz">
      <w:rPr>
        <w:rFonts w:ascii="Arial" w:hAnsi="Arial"/>
        <w:color w:val="8DA9DB" w:themeColor="accent5" w:themeTint="9A" w:themeShade="95"/>
        <w:sz w:val="22"/>
      </w:rPr>
      <w:tblPr/>
      <w:tcPr>
        <w:shd w:val="clear" w:color="CFDBF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1">
    <w:name w:val="List Table 6 Colorful - Accent 61"/>
    <w:basedOn w:val="Table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customStyle="1" w:styleId="ListTable7Colorful-Accent11">
    <w:name w:val="List Table 7 Colorful - Accent 11"/>
    <w:basedOn w:val="Table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FFFFFF"/>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FFFFFF"/>
      </w:tcPr>
    </w:tblStylePr>
    <w:tblStylePr w:type="band1Vert">
      <w:tblPr/>
      <w:tcPr>
        <w:shd w:val="clear" w:color="D5E5F4" w:fill="D5E5F4" w:themeFill="accent1" w:themeFillTint="40"/>
      </w:tcPr>
    </w:tblStylePr>
    <w:tblStylePr w:type="band1Horz">
      <w:rPr>
        <w:rFonts w:ascii="Arial" w:hAnsi="Arial"/>
        <w:color w:val="245A8D" w:themeColor="accent1" w:themeShade="95"/>
        <w:sz w:val="22"/>
      </w:rPr>
      <w:tblPr/>
      <w:tcPr>
        <w:shd w:val="clear" w:color="D5E5F4"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1">
    <w:name w:val="List Table 7 Colorful - Accent 21"/>
    <w:basedOn w:val="Table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e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FFFFFF"/>
      </w:tc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e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e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FFFFFF"/>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FFFFFF"/>
      </w:tcPr>
    </w:tblStylePr>
    <w:tblStylePr w:type="band1Vert">
      <w:tblPr/>
      <w:tcPr>
        <w:shd w:val="clear" w:color="CFDBF0" w:fill="CFDBF0" w:themeFill="accent5" w:themeFillTint="40"/>
      </w:tcPr>
    </w:tblStylePr>
    <w:tblStylePr w:type="band1Horz">
      <w:rPr>
        <w:rFonts w:ascii="Arial" w:hAnsi="Arial"/>
        <w:color w:val="8DA9DB" w:themeColor="accent5" w:themeTint="9A" w:themeShade="95"/>
        <w:sz w:val="22"/>
      </w:rPr>
      <w:tblPr/>
      <w:tcPr>
        <w:shd w:val="clear" w:color="CFDBF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1">
    <w:name w:val="List Table 7 Colorful - Accent 61"/>
    <w:basedOn w:val="Table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FFFFFF"/>
      </w:tc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character" w:customStyle="1" w:styleId="CaptionChar">
    <w:name w:val="Caption Char"/>
    <w:uiPriority w:val="99"/>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ListParagraph">
    <w:name w:val="List Paragraph"/>
    <w:basedOn w:val="Normal"/>
    <w:uiPriority w:val="34"/>
    <w:qFormat/>
    <w:pPr>
      <w:ind w:left="720"/>
      <w:contextualSpacing/>
    </w:pPr>
  </w:style>
  <w:style w:type="paragraph" w:styleId="NoSpacing">
    <w:name w:val="No Spacing"/>
    <w:uiPriority w:val="1"/>
    <w:qFormat/>
    <w:pPr>
      <w:spacing w:after="0" w:line="240" w:lineRule="auto"/>
    </w:p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1"/>
    <w:uiPriority w:val="99"/>
    <w:unhideWhenUsed/>
    <w:pPr>
      <w:tabs>
        <w:tab w:val="center" w:pos="7143"/>
        <w:tab w:val="right" w:pos="14287"/>
      </w:tabs>
      <w:spacing w:after="0" w:line="240" w:lineRule="auto"/>
    </w:pPr>
  </w:style>
  <w:style w:type="character" w:customStyle="1" w:styleId="FooterChar">
    <w:name w:val="Footer Char"/>
    <w:basedOn w:val="DefaultParagraphFont"/>
    <w:uiPriority w:val="99"/>
  </w:style>
  <w:style w:type="character" w:customStyle="1" w:styleId="FooterChar1">
    <w:name w:val="Footer Char1"/>
    <w:link w:val="Footer"/>
    <w:uiPriority w:val="99"/>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fill="DDEAF6" w:themeFill="accent1" w:themeFillTint="34"/>
    </w:tblPr>
    <w:tblStylePr w:type="firstRow">
      <w:rPr>
        <w:rFonts w:ascii="Arial" w:hAnsi="Arial"/>
        <w:b/>
        <w:color w:val="FFFFFF"/>
        <w:sz w:val="22"/>
      </w:rPr>
      <w:tblPr/>
      <w:tcPr>
        <w:shd w:val="clear" w:color="5B9BD5" w:fill="5B9BD5" w:themeFill="accent1"/>
      </w:tcPr>
    </w:tblStylePr>
    <w:tblStylePr w:type="lastRow">
      <w:rPr>
        <w:rFonts w:ascii="Arial" w:hAnsi="Arial"/>
        <w:b/>
        <w:color w:val="FFFFFF"/>
        <w:sz w:val="22"/>
      </w:rPr>
      <w:tblPr/>
      <w:tcPr>
        <w:tcBorders>
          <w:top w:val="single" w:sz="4" w:space="0" w:color="FFFFFF" w:themeColor="light1"/>
        </w:tcBorders>
        <w:shd w:val="clear" w:color="5B9BD5" w:fill="5B9BD5" w:themeFill="accent1"/>
      </w:tcPr>
    </w:tblStylePr>
    <w:tblStylePr w:type="firstCol">
      <w:rPr>
        <w:rFonts w:ascii="Arial" w:hAnsi="Arial"/>
        <w:b/>
        <w:color w:val="FFFFFF"/>
        <w:sz w:val="22"/>
      </w:rPr>
      <w:tblPr/>
      <w:tcPr>
        <w:shd w:val="clear" w:color="5B9BD5" w:fill="5B9BD5" w:themeFill="accent1"/>
      </w:tcPr>
    </w:tblStylePr>
    <w:tblStylePr w:type="lastCol">
      <w:rPr>
        <w:rFonts w:ascii="Arial" w:hAnsi="Arial"/>
        <w:b/>
        <w:color w:val="FFFFFF"/>
        <w:sz w:val="22"/>
      </w:rPr>
      <w:tblPr/>
      <w:tcPr>
        <w:shd w:val="clear" w:color="5B9BD5" w:fill="5B9BD5" w:themeFill="accent1"/>
      </w:tcPr>
    </w:tblStylePr>
    <w:tblStylePr w:type="band1Vert">
      <w:tblPr/>
      <w:tcPr>
        <w:shd w:val="clear" w:color="B3D0EB" w:fill="B3D0EB" w:themeFill="accent1" w:themeFillTint="75"/>
      </w:tcPr>
    </w:tblStylePr>
    <w:tblStylePr w:type="band1Horz">
      <w:tblPr/>
      <w:tcPr>
        <w:shd w:val="clear" w:color="B3D0EB" w:fill="B3D0EB"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fill="FFF2CB" w:themeFill="accent4" w:themeFillTint="34"/>
    </w:tblPr>
    <w:tblStylePr w:type="firstRow">
      <w:rPr>
        <w:rFonts w:ascii="Arial" w:hAnsi="Arial"/>
        <w:b/>
        <w:color w:val="FFFFFF"/>
        <w:sz w:val="22"/>
      </w:rPr>
      <w:tblPr/>
      <w:tcPr>
        <w:shd w:val="clear" w:color="FFC000" w:fill="FFC000" w:themeFill="accent4"/>
      </w:tcPr>
    </w:tblStylePr>
    <w:tblStylePr w:type="lastRow">
      <w:rPr>
        <w:rFonts w:ascii="Arial" w:hAnsi="Arial"/>
        <w:b/>
        <w:color w:val="FFFFFF"/>
        <w:sz w:val="22"/>
      </w:rPr>
      <w:tblPr/>
      <w:tcPr>
        <w:tcBorders>
          <w:top w:val="single" w:sz="4" w:space="0" w:color="FFFFFF" w:themeColor="light1"/>
        </w:tcBorders>
        <w:shd w:val="clear" w:color="FFC000" w:fill="FFC000" w:themeFill="accent4"/>
      </w:tcPr>
    </w:tblStylePr>
    <w:tblStylePr w:type="firstCol">
      <w:rPr>
        <w:rFonts w:ascii="Arial" w:hAnsi="Arial"/>
        <w:b/>
        <w:color w:val="FFFFFF"/>
        <w:sz w:val="22"/>
      </w:rPr>
      <w:tblPr/>
      <w:tcPr>
        <w:shd w:val="clear" w:color="FFC000" w:fill="FFC000" w:themeFill="accent4"/>
      </w:tcPr>
    </w:tblStylePr>
    <w:tblStylePr w:type="lastCol">
      <w:rPr>
        <w:rFonts w:ascii="Arial" w:hAnsi="Arial"/>
        <w:b/>
        <w:color w:val="FFFFFF"/>
        <w:sz w:val="22"/>
      </w:rPr>
      <w:tblPr/>
      <w:tcPr>
        <w:shd w:val="clear" w:color="FFC000" w:fill="FFC000" w:themeFill="accent4"/>
      </w:tcPr>
    </w:tblStylePr>
    <w:tblStylePr w:type="band1Vert">
      <w:tblPr/>
      <w:tcPr>
        <w:shd w:val="clear" w:color="FFE28A" w:fill="FFE28A" w:themeFill="accent4" w:themeFillTint="75"/>
      </w:tcPr>
    </w:tblStylePr>
    <w:tblStylePr w:type="band1Horz">
      <w:tblPr/>
      <w:tcPr>
        <w:shd w:val="clear" w:color="FFE28A" w:fill="FFE28A"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68A2D8" w:fill="68A2D8" w:themeFill="accent1" w:themeFillTint="EA"/>
      </w:tcPr>
    </w:tblStylePr>
    <w:tblStylePr w:type="lastRow">
      <w:rPr>
        <w:rFonts w:ascii="Arial" w:hAnsi="Arial"/>
        <w:color w:val="F2F2F2"/>
        <w:sz w:val="22"/>
      </w:rPr>
      <w:tblPr/>
      <w:tcPr>
        <w:shd w:val="clear" w:color="68A2D8" w:fill="68A2D8" w:themeFill="accent1" w:themeFillTint="EA"/>
      </w:tcPr>
    </w:tblStylePr>
    <w:tblStylePr w:type="firstCol">
      <w:rPr>
        <w:rFonts w:ascii="Arial" w:hAnsi="Arial"/>
        <w:color w:val="F2F2F2"/>
        <w:sz w:val="22"/>
      </w:rPr>
      <w:tblPr/>
      <w:tcPr>
        <w:shd w:val="clear" w:color="68A2D8" w:fill="68A2D8" w:themeFill="accent1" w:themeFillTint="EA"/>
      </w:tcPr>
    </w:tblStylePr>
    <w:tblStylePr w:type="lastCol">
      <w:rPr>
        <w:rFonts w:ascii="Arial" w:hAnsi="Arial"/>
        <w:color w:val="F2F2F2"/>
        <w:sz w:val="22"/>
      </w:rPr>
      <w:tblPr/>
      <w:tcPr>
        <w:shd w:val="clear" w:color="68A2D8"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fill="CBDFF1"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472C4" w:fill="4472C4" w:themeFill="accent5"/>
      </w:tcPr>
    </w:tblStylePr>
    <w:tblStylePr w:type="lastRow">
      <w:rPr>
        <w:rFonts w:ascii="Arial" w:hAnsi="Arial"/>
        <w:color w:val="F2F2F2"/>
        <w:sz w:val="22"/>
      </w:rPr>
      <w:tblPr/>
      <w:tcPr>
        <w:shd w:val="clear" w:color="4472C4" w:fill="4472C4" w:themeFill="accent5"/>
      </w:tcPr>
    </w:tblStylePr>
    <w:tblStylePr w:type="firstCol">
      <w:rPr>
        <w:rFonts w:ascii="Arial" w:hAnsi="Arial"/>
        <w:color w:val="F2F2F2"/>
        <w:sz w:val="22"/>
      </w:rPr>
      <w:tblPr/>
      <w:tcPr>
        <w:shd w:val="clear" w:color="4472C4" w:fill="4472C4" w:themeFill="accent5"/>
      </w:tcPr>
    </w:tblStylePr>
    <w:tblStylePr w:type="lastCol">
      <w:rPr>
        <w:rFonts w:ascii="Arial" w:hAnsi="Arial"/>
        <w:color w:val="F2F2F2"/>
        <w:sz w:val="22"/>
      </w:rPr>
      <w:tblPr/>
      <w:tcPr>
        <w:shd w:val="clear" w:color="4472C4"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fill="D8E2F3"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fill="68A2D8" w:themeFill="accent1" w:themeFillTint="EA"/>
      </w:tcPr>
    </w:tblStylePr>
    <w:tblStylePr w:type="lastRow">
      <w:rPr>
        <w:rFonts w:ascii="Arial" w:hAnsi="Arial"/>
        <w:color w:val="F2F2F2"/>
        <w:sz w:val="22"/>
      </w:rPr>
      <w:tblPr/>
      <w:tcPr>
        <w:shd w:val="clear" w:color="68A2D8" w:fill="68A2D8" w:themeFill="accent1" w:themeFillTint="EA"/>
      </w:tcPr>
    </w:tblStylePr>
    <w:tblStylePr w:type="firstCol">
      <w:rPr>
        <w:rFonts w:ascii="Arial" w:hAnsi="Arial"/>
        <w:color w:val="F2F2F2"/>
        <w:sz w:val="22"/>
      </w:rPr>
      <w:tblPr/>
      <w:tcPr>
        <w:shd w:val="clear" w:color="68A2D8" w:fill="68A2D8" w:themeFill="accent1" w:themeFillTint="EA"/>
      </w:tcPr>
    </w:tblStylePr>
    <w:tblStylePr w:type="lastCol">
      <w:rPr>
        <w:rFonts w:ascii="Arial" w:hAnsi="Arial"/>
        <w:color w:val="F2F2F2"/>
        <w:sz w:val="22"/>
      </w:rPr>
      <w:tblPr/>
      <w:tcPr>
        <w:shd w:val="clear" w:color="68A2D8"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fill="CBDFF1"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fill="4472C4" w:themeFill="accent5"/>
      </w:tcPr>
    </w:tblStylePr>
    <w:tblStylePr w:type="lastRow">
      <w:rPr>
        <w:rFonts w:ascii="Arial" w:hAnsi="Arial"/>
        <w:color w:val="F2F2F2"/>
        <w:sz w:val="22"/>
      </w:rPr>
      <w:tblPr/>
      <w:tcPr>
        <w:shd w:val="clear" w:color="4472C4" w:fill="4472C4" w:themeFill="accent5"/>
      </w:tcPr>
    </w:tblStylePr>
    <w:tblStylePr w:type="firstCol">
      <w:rPr>
        <w:rFonts w:ascii="Arial" w:hAnsi="Arial"/>
        <w:color w:val="F2F2F2"/>
        <w:sz w:val="22"/>
      </w:rPr>
      <w:tblPr/>
      <w:tcPr>
        <w:shd w:val="clear" w:color="4472C4" w:fill="4472C4" w:themeFill="accent5"/>
      </w:tcPr>
    </w:tblStylePr>
    <w:tblStylePr w:type="lastCol">
      <w:rPr>
        <w:rFonts w:ascii="Arial" w:hAnsi="Arial"/>
        <w:color w:val="F2F2F2"/>
        <w:sz w:val="22"/>
      </w:rPr>
      <w:tblPr/>
      <w:tcPr>
        <w:shd w:val="clear" w:color="4472C4"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fill="D8E2F3"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character" w:customStyle="1" w:styleId="mi">
    <w:name w:val="mi"/>
    <w:basedOn w:val="DefaultParagraphFont"/>
  </w:style>
  <w:style w:type="character" w:customStyle="1" w:styleId="mo">
    <w:name w:val="mo"/>
    <w:basedOn w:val="DefaultParagraphFont"/>
  </w:style>
  <w:style w:type="character" w:customStyle="1" w:styleId="markedcontent">
    <w:name w:val="markedcontent"/>
    <w:basedOn w:val="DefaultParagraphFont"/>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table" w:styleId="TableGrid">
    <w:name w:val="Table Grid"/>
    <w:basedOn w:val="Table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basedOn w:val="Normal"/>
    <w:link w:val="FootnoteTextChar"/>
    <w:uiPriority w:val="99"/>
    <w:unhideWhenUsed/>
    <w:pPr>
      <w:spacing w:after="0" w:line="240" w:lineRule="auto"/>
    </w:pPr>
    <w:rPr>
      <w:sz w:val="20"/>
      <w:szCs w:val="20"/>
    </w:rPr>
  </w:style>
  <w:style w:type="character" w:customStyle="1" w:styleId="FootnoteTextChar">
    <w:name w:val="Footnote Text Char"/>
    <w:basedOn w:val="DefaultParagraphFont"/>
    <w:link w:val="FootnoteText"/>
    <w:uiPriority w:val="99"/>
    <w:rPr>
      <w:sz w:val="20"/>
      <w:szCs w:val="20"/>
    </w:rPr>
  </w:style>
  <w:style w:type="character" w:styleId="FootnoteReference">
    <w:name w:val="footnote reference"/>
    <w:basedOn w:val="DefaultParagraphFont"/>
    <w:uiPriority w:val="99"/>
    <w:semiHidden/>
    <w:unhideWhenUsed/>
    <w:rPr>
      <w:vertAlign w:val="superscript"/>
    </w:r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semiHidden/>
    <w:unhideWhenUsed/>
    <w:rPr>
      <w:color w:val="954F72" w:themeColor="followedHyperlink"/>
      <w:u w:val="single"/>
    </w:rPr>
  </w:style>
  <w:style w:type="table" w:styleId="PlainTable1">
    <w:name w:val="Plain Table 1"/>
    <w:basedOn w:val="TableNormal"/>
    <w:uiPriority w:val="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F2F2F2" w:fill="F2F2F2" w:themeFill="background1" w:themeFillShade="F2"/>
      </w:tcPr>
    </w:tblStylePr>
    <w:tblStylePr w:type="band1Horz">
      <w:tblPr/>
      <w:tcPr>
        <w:shd w:val="clear" w:color="F2F2F2" w:fill="F2F2F2" w:themeFill="background1" w:themeFillShade="F2"/>
      </w:tcPr>
    </w:tblStylePr>
  </w:style>
  <w:style w:type="character" w:customStyle="1" w:styleId="hgkelc">
    <w:name w:val="hgkelc"/>
    <w:basedOn w:val="DefaultParagraphFont"/>
  </w:style>
  <w:style w:type="character" w:customStyle="1" w:styleId="Heading1Char">
    <w:name w:val="Heading 1 Char"/>
    <w:basedOn w:val="DefaultParagraphFont"/>
    <w:link w:val="Heading1"/>
    <w:uiPriority w:val="9"/>
    <w:rPr>
      <w:rFonts w:ascii="Calibri Light" w:eastAsia="Calibri Light" w:hAnsi="Calibri Light" w:cs="Calibri Light"/>
      <w:color w:val="2E74B5" w:themeColor="accent1" w:themeShade="BF"/>
      <w:sz w:val="32"/>
      <w:szCs w:val="32"/>
    </w:rPr>
  </w:style>
  <w:style w:type="paragraph" w:styleId="Bibliography">
    <w:name w:val="Bibliography"/>
    <w:basedOn w:val="Normal"/>
    <w:next w:val="Normal"/>
    <w:uiPriority w:val="37"/>
    <w:unhideWhenUsed/>
  </w:style>
  <w:style w:type="character" w:styleId="PlaceholderText">
    <w:name w:val="Placeholder Text"/>
    <w:basedOn w:val="DefaultParagraphFont"/>
    <w:uiPriority w:val="99"/>
    <w:semiHidden/>
    <w:rPr>
      <w:color w:val="808080"/>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character" w:customStyle="1" w:styleId="mjx-char">
    <w:name w:val="mjx-char"/>
    <w:basedOn w:val="DefaultParagraphFont"/>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nchor-text">
    <w:name w:val="anchor-text"/>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pnas.org/doi/10.1073/pnas.2119266119" TargetMode="External"/><Relationship Id="rId18" Type="http://schemas.openxmlformats.org/officeDocument/2006/relationships/image" Target="media/image10.png"/><Relationship Id="rId39" Type="http://schemas.openxmlformats.org/officeDocument/2006/relationships/hyperlink" Target="https://doi.org/10.1038/s41586-020-2405-7" TargetMode="External"/><Relationship Id="rId21" Type="http://schemas.microsoft.com/office/2007/relationships/hdphoto" Target="media/hdphoto1.wdp"/><Relationship Id="rId34" Type="http://schemas.openxmlformats.org/officeDocument/2006/relationships/hyperlink" Target="https://doi.org/10.1038/s41598-022-11362-x" TargetMode="External"/><Relationship Id="rId42" Type="http://schemas.openxmlformats.org/officeDocument/2006/relationships/hyperlink" Target="https://doi.org/10.3390/ijerph19031139" TargetMode="External"/><Relationship Id="rId47" Type="http://schemas.openxmlformats.org/officeDocument/2006/relationships/hyperlink" Target="https://doi.org/10.1016/j.compbiomed.2022.105342" TargetMode="External"/><Relationship Id="rId50" Type="http://schemas.openxmlformats.org/officeDocument/2006/relationships/hyperlink" Target="https://doi.org/10.1016/j.neucom.2021.10.035" TargetMode="External"/><Relationship Id="rId55" Type="http://schemas.openxmlformats.org/officeDocument/2006/relationships/hyperlink" Target="https://doi.org/10.1007/978-981-16-2164-2_18" TargetMode="External"/><Relationship Id="rId63" Type="http://schemas.onlyoffice.com/commentsIdsDocument" Target="commentsIds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11" Type="http://schemas.openxmlformats.org/officeDocument/2006/relationships/hyperlink" Target="https://www.mdpi.com/1660-4601/19/3/1139" TargetMode="External"/><Relationship Id="rId32" Type="http://schemas.openxmlformats.org/officeDocument/2006/relationships/image" Target="media/image50.png"/><Relationship Id="rId37" Type="http://schemas.openxmlformats.org/officeDocument/2006/relationships/hyperlink" Target="https://doi.org/10.1016/j.cie.2022.107970" TargetMode="External"/><Relationship Id="rId40" Type="http://schemas.openxmlformats.org/officeDocument/2006/relationships/hyperlink" Target="https://doi.org/10.1038/s41467-022-30897-1" TargetMode="External"/><Relationship Id="rId45" Type="http://schemas.openxmlformats.org/officeDocument/2006/relationships/hyperlink" Target="https://doi.org/10.1186/s13756-021-01039-x" TargetMode="External"/><Relationship Id="rId53" Type="http://schemas.openxmlformats.org/officeDocument/2006/relationships/hyperlink" Target="https://doi.org/10.1007/s10654-023-00963-z" TargetMode="External"/><Relationship Id="rId58" Type="http://schemas.openxmlformats.org/officeDocument/2006/relationships/hyperlink" Target="https://arxiv.org/abs/1803.04386" TargetMode="External"/><Relationship Id="rId66" Type="http://schemas.onlyoffice.com/commentsDocument" Target="commentsDocument.xml"/><Relationship Id="rId5" Type="http://schemas.openxmlformats.org/officeDocument/2006/relationships/webSettings" Target="webSettings.xml"/><Relationship Id="rId10" Type="http://schemas.openxmlformats.org/officeDocument/2006/relationships/hyperlink" Target="https://bmcpublichealth.biomedcentral.com/articles/10.1186/s12889-022-13546-6" TargetMode="External"/><Relationship Id="rId19" Type="http://schemas.openxmlformats.org/officeDocument/2006/relationships/image" Target="media/image2.png"/><Relationship Id="rId44" Type="http://schemas.openxmlformats.org/officeDocument/2006/relationships/hyperlink" Target="https://doi.org/10.2807/1560-7917.ES.2023.28.17.2200382" TargetMode="External"/><Relationship Id="rId52" Type="http://schemas.openxmlformats.org/officeDocument/2006/relationships/hyperlink" Target="https://doi.org/10.1038/s41598-023-28936-y" TargetMode="External"/><Relationship Id="rId60" Type="http://schemas.openxmlformats.org/officeDocument/2006/relationships/theme" Target="theme/theme1.xml"/><Relationship Id="rId65" Type="http://schemas.onlyoffice.com/peopleDocument" Target="peopleDocument.xml"/><Relationship Id="rId4" Type="http://schemas.openxmlformats.org/officeDocument/2006/relationships/settings" Target="settings.xml"/><Relationship Id="rId9" Type="http://schemas.openxmlformats.org/officeDocument/2006/relationships/hyperlink" Target="https://aricjournal.biomedcentral.com/articles/10.1186/s13756-021-01039-x" TargetMode="External"/><Relationship Id="rId14" Type="http://schemas.openxmlformats.org/officeDocument/2006/relationships/hyperlink" Target="https://www.ncbi.nlm.nih.gov/pmc/articles/PMC8666325/" TargetMode="External"/><Relationship Id="rId22" Type="http://schemas.openxmlformats.org/officeDocument/2006/relationships/image" Target="media/image4.png"/><Relationship Id="rId35" Type="http://schemas.openxmlformats.org/officeDocument/2006/relationships/hyperlink" Target="https://doi.org/10.1201/9780429288340" TargetMode="External"/><Relationship Id="rId43" Type="http://schemas.openxmlformats.org/officeDocument/2006/relationships/hyperlink" Target="https://doi.org/10.1016/j.eswa.2022.116611" TargetMode="External"/><Relationship Id="rId48" Type="http://schemas.openxmlformats.org/officeDocument/2006/relationships/hyperlink" Target="https://doi.org/10.2807/1560-7917.ES.2022.27.41.2101190" TargetMode="External"/><Relationship Id="rId56" Type="http://schemas.openxmlformats.org/officeDocument/2006/relationships/hyperlink" Target="https://doi.org/10.1186/s12889-022-13546-6" TargetMode="External"/><Relationship Id="rId64" Type="http://schemas.onlyoffice.com/commentsExtendedDocument" Target="commentsExtendedDocument.xml"/><Relationship Id="rId8" Type="http://schemas.openxmlformats.org/officeDocument/2006/relationships/hyperlink" Target="https://pubsonline.informs.org/doi/full/10.1287/opre.2022.2306" TargetMode="External"/><Relationship Id="rId51" Type="http://schemas.openxmlformats.org/officeDocument/2006/relationships/hyperlink" Target="https://doi.org/10.1186/s12879-023-08368-9" TargetMode="External"/><Relationship Id="rId3" Type="http://schemas.openxmlformats.org/officeDocument/2006/relationships/styles" Target="styles.xml"/><Relationship Id="rId12" Type="http://schemas.openxmlformats.org/officeDocument/2006/relationships/hyperlink" Target="https://www.nature.com/articles/s41467-022-30897-1" TargetMode="External"/><Relationship Id="rId33" Type="http://schemas.openxmlformats.org/officeDocument/2006/relationships/hyperlink" Target="https://doi.org/10.1016/j.asoc.2022.108691" TargetMode="External"/><Relationship Id="rId38" Type="http://schemas.openxmlformats.org/officeDocument/2006/relationships/hyperlink" Target="https://doi.org/10.1038/s41598-023-34776-7" TargetMode="External"/><Relationship Id="rId46" Type="http://schemas.openxmlformats.org/officeDocument/2006/relationships/hyperlink" Target="https://doi.org/10.3390/v15020325" TargetMode="External"/><Relationship Id="rId59" Type="http://schemas.openxmlformats.org/officeDocument/2006/relationships/fontTable" Target="fontTable.xml"/><Relationship Id="rId67" Type="http://schemas.onlyoffice.com/commentsExtensibleDocument" Target="commentsExtensibleDocument.xml"/><Relationship Id="rId20" Type="http://schemas.openxmlformats.org/officeDocument/2006/relationships/image" Target="media/image3.png"/><Relationship Id="rId41" Type="http://schemas.openxmlformats.org/officeDocument/2006/relationships/hyperlink" Target="https://www.pnas.org/doi/full/10.1073/pnas.2119266119" TargetMode="External"/><Relationship Id="rId54" Type="http://schemas.openxmlformats.org/officeDocument/2006/relationships/hyperlink" Target="https://doi.org/10.1186/s12916-023-0280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ecdc.europa.eu/en" TargetMode="External"/><Relationship Id="rId23" Type="http://schemas.openxmlformats.org/officeDocument/2006/relationships/image" Target="media/image5.png"/><Relationship Id="rId36" Type="http://schemas.openxmlformats.org/officeDocument/2006/relationships/hyperlink" Target="https://doi.org/10.1057/s41599-023-01821-9" TargetMode="External"/><Relationship Id="rId49" Type="http://schemas.openxmlformats.org/officeDocument/2006/relationships/hyperlink" Target="https://doi.org/10.1287/opre.2022.2306" TargetMode="External"/><Relationship Id="rId57" Type="http://schemas.openxmlformats.org/officeDocument/2006/relationships/hyperlink" Target="https://doi.org/10.1038/s41598-023-31057-1"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ecdc.europa.eu/sites/default/files/documents/Variable_Dictionary_and_Disclaimer_non-pharmacautical_measures_v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27</Pages>
  <Words>8649</Words>
  <Characters>49303</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Hamed</dc:creator>
  <cp:keywords/>
  <dc:description/>
  <cp:lastModifiedBy>Hamed</cp:lastModifiedBy>
  <cp:revision>13</cp:revision>
  <dcterms:created xsi:type="dcterms:W3CDTF">2023-07-07T13:19:00Z</dcterms:created>
  <dcterms:modified xsi:type="dcterms:W3CDTF">2023-07-07T13:24:00Z</dcterms:modified>
</cp:coreProperties>
</file>